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ED17C4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112-02/17-01/07</w:t>
      </w:r>
      <w:r w:rsidR="00814FF6">
        <w:rPr>
          <w:rFonts w:ascii="Century Gothic" w:hAnsi="Century Gothic"/>
        </w:rPr>
        <w:t xml:space="preserve">                           </w:t>
      </w:r>
    </w:p>
    <w:p w:rsidR="0082408C" w:rsidRDefault="00F6595C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2186/08-17</w:t>
      </w:r>
      <w:r w:rsidR="00814FF6">
        <w:rPr>
          <w:rFonts w:ascii="Century Gothic" w:hAnsi="Century Gothic"/>
        </w:rPr>
        <w:t>-01</w:t>
      </w:r>
    </w:p>
    <w:p w:rsidR="0082408C" w:rsidRDefault="00F6595C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Sveti Ilija, 13.01.2017</w:t>
      </w:r>
      <w:r w:rsidR="00814FF6">
        <w:rPr>
          <w:rFonts w:ascii="Century Gothic" w:hAnsi="Century Gothic"/>
        </w:rPr>
        <w:t xml:space="preserve">.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(„Narodne novine“ broj: 86/08 i 61/11) Povjerenstvo za provedbu Javnog natječaja za </w:t>
      </w:r>
      <w:r w:rsidR="006926DF">
        <w:rPr>
          <w:rFonts w:ascii="Century Gothic" w:hAnsi="Century Gothic"/>
        </w:rPr>
        <w:t xml:space="preserve">prijem u službu višeg referenta/referentice Jedinstvenog upravnog odjela Općine Sveti Ilija </w:t>
      </w:r>
      <w:r>
        <w:rPr>
          <w:rFonts w:ascii="Century Gothic" w:hAnsi="Century Gothic"/>
        </w:rPr>
        <w:t>upućuje</w:t>
      </w:r>
    </w:p>
    <w:p w:rsidR="00142974" w:rsidRDefault="00142974">
      <w:pPr>
        <w:contextualSpacing/>
        <w:rPr>
          <w:rFonts w:ascii="Century Gothic" w:hAnsi="Century Gothic"/>
        </w:rPr>
      </w:pPr>
    </w:p>
    <w:p w:rsidR="00260AF1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POZIV NA PRETHODNU PROVJERU ZNANJA</w:t>
      </w:r>
    </w:p>
    <w:p w:rsidR="0082408C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I SPOSOBNOSTI KANDIDATA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177C72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>Pozivaju se kandidati prijavljeni na javni natječaj, objavlj</w:t>
      </w:r>
      <w:r w:rsidR="00F6595C">
        <w:rPr>
          <w:rFonts w:ascii="Century Gothic" w:hAnsi="Century Gothic"/>
        </w:rPr>
        <w:t>en u Narodnim novinama, broj 2/2017, od 04. siječnja 2017. godine, za prijem u službu višeg referenta/referentice</w:t>
      </w:r>
      <w:r>
        <w:rPr>
          <w:rFonts w:ascii="Century Gothic" w:hAnsi="Century Gothic"/>
        </w:rPr>
        <w:t xml:space="preserve"> Jedinstvenog upravnog odjela Općine Sveti Ilija, na testiranja koja će se održati u sljedećim terminima: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 w:rsidRPr="001042FE">
        <w:rPr>
          <w:rFonts w:ascii="Century Gothic" w:hAnsi="Century Gothic"/>
          <w:u w:val="single"/>
        </w:rPr>
        <w:t>Pisano testiranje (opći i posebni dio</w:t>
      </w:r>
      <w:r w:rsidRPr="001042FE">
        <w:rPr>
          <w:rFonts w:ascii="Century Gothic" w:hAnsi="Century Gothic"/>
        </w:rPr>
        <w:t>)</w:t>
      </w:r>
      <w:r w:rsidRPr="001042FE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F6595C">
        <w:rPr>
          <w:rFonts w:ascii="Century Gothic" w:hAnsi="Century Gothic"/>
          <w:b/>
        </w:rPr>
        <w:t xml:space="preserve">18. siječnja 2017. godine </w:t>
      </w:r>
      <w:r w:rsidR="00ED17C4">
        <w:rPr>
          <w:rFonts w:ascii="Century Gothic" w:hAnsi="Century Gothic"/>
          <w:b/>
        </w:rPr>
        <w:t>(</w:t>
      </w:r>
      <w:r w:rsidR="00F6595C">
        <w:rPr>
          <w:rFonts w:ascii="Century Gothic" w:hAnsi="Century Gothic"/>
          <w:b/>
        </w:rPr>
        <w:t>srijeda</w:t>
      </w:r>
      <w:r w:rsidRPr="001042FE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 xml:space="preserve"> u</w:t>
      </w:r>
      <w:r w:rsidR="00F03EA0">
        <w:rPr>
          <w:rFonts w:ascii="Century Gothic" w:hAnsi="Century Gothic"/>
          <w:b/>
        </w:rPr>
        <w:t xml:space="preserve"> 14:00 sati u</w:t>
      </w:r>
      <w:r>
        <w:rPr>
          <w:rFonts w:ascii="Century Gothic" w:hAnsi="Century Gothic"/>
          <w:b/>
        </w:rPr>
        <w:t xml:space="preserve"> prostorijama Općine Sveti Ilija, Sveti Ilija, Trg Josipa Godrijana 2</w:t>
      </w:r>
    </w:p>
    <w:p w:rsidR="00F6595C" w:rsidRPr="00F6595C" w:rsidRDefault="00F6595C" w:rsidP="00177C72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Na testiranje potrebno je ponijeti: </w:t>
      </w:r>
      <w:r w:rsidRPr="0064187F">
        <w:rPr>
          <w:rFonts w:ascii="Century Gothic" w:hAnsi="Century Gothic"/>
          <w:b/>
          <w:u w:val="single"/>
        </w:rPr>
        <w:t>osobnu iskaznicu i kemijsku olovku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Kandidati koji su ostvarili najmanje 50% bodova iz svakog dijela pisanog testiranja (najmanje 50% iz općeg dijela i 50% iz posebnog dijela pisanog testiranja) biti će pozvani </w:t>
      </w:r>
      <w:r w:rsidR="00A565B0">
        <w:rPr>
          <w:rFonts w:ascii="Century Gothic" w:hAnsi="Century Gothic"/>
          <w:b/>
        </w:rPr>
        <w:t xml:space="preserve">na intervju. </w:t>
      </w:r>
    </w:p>
    <w:p w:rsidR="00A565B0" w:rsidRPr="00A565B0" w:rsidRDefault="00A565B0" w:rsidP="00177C72">
      <w:pPr>
        <w:jc w:val="both"/>
        <w:rPr>
          <w:rFonts w:ascii="Century Gothic" w:hAnsi="Century Gothic"/>
        </w:rPr>
      </w:pPr>
      <w:r w:rsidRPr="00A565B0">
        <w:rPr>
          <w:rFonts w:ascii="Century Gothic" w:hAnsi="Century Gothic"/>
          <w:u w:val="single"/>
        </w:rPr>
        <w:t>Intervju će se održati</w:t>
      </w:r>
      <w:r w:rsidR="00F6595C">
        <w:rPr>
          <w:rFonts w:ascii="Century Gothic" w:hAnsi="Century Gothic"/>
          <w:b/>
        </w:rPr>
        <w:t xml:space="preserve">  18. siječnja 2017. godine (srijeda</w:t>
      </w:r>
      <w:r>
        <w:rPr>
          <w:rFonts w:ascii="Century Gothic" w:hAnsi="Century Gothic"/>
          <w:b/>
        </w:rPr>
        <w:t xml:space="preserve">) </w:t>
      </w:r>
      <w:r w:rsidRPr="00F6595C">
        <w:rPr>
          <w:rFonts w:ascii="Century Gothic" w:hAnsi="Century Gothic"/>
          <w:b/>
        </w:rPr>
        <w:t>u</w:t>
      </w:r>
      <w:r w:rsidR="00F03EA0">
        <w:rPr>
          <w:rFonts w:ascii="Century Gothic" w:hAnsi="Century Gothic"/>
          <w:b/>
        </w:rPr>
        <w:t xml:space="preserve"> 17:30 sati u</w:t>
      </w:r>
      <w:r w:rsidRPr="00A565B0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prostorijama Općine Sveti Ilija, </w:t>
      </w:r>
      <w:r w:rsidRPr="00F6595C">
        <w:rPr>
          <w:rFonts w:ascii="Century Gothic" w:hAnsi="Century Gothic"/>
          <w:b/>
        </w:rPr>
        <w:t>Sveti Ilija, Trg Josipa Godrijana 2</w:t>
      </w:r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>o dolasku na pisano testiranje i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>K</w:t>
      </w:r>
      <w:r w:rsidRPr="00310FDE">
        <w:rPr>
          <w:rFonts w:ascii="Century Gothic" w:hAnsi="Century Gothic" w:cs="Calibri"/>
          <w:lang w:eastAsia="x-none"/>
        </w:rPr>
        <w:t>andidati koji ne mogu dokazati identitet ne mogu pristupiti testi</w:t>
      </w:r>
      <w:bookmarkStart w:id="0" w:name="_GoBack"/>
      <w:bookmarkEnd w:id="0"/>
      <w:r w:rsidRPr="00310FDE">
        <w:rPr>
          <w:rFonts w:ascii="Century Gothic" w:hAnsi="Century Gothic" w:cs="Calibri"/>
          <w:lang w:eastAsia="x-none"/>
        </w:rPr>
        <w:t>ranju i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Ako kandidat ne pristupi testiranju 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lastRenderedPageBreak/>
        <w:t>II. Imena kandidata koji ispunjavaju formalne uvjete iz natječaja s kojima će se provesti testiranje su:</w:t>
      </w:r>
    </w:p>
    <w:p w:rsidR="00FF56AF" w:rsidRPr="00FA74A3" w:rsidRDefault="00F6595C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>Ivana Košćak, Doljan, Vinogradska 8</w:t>
      </w:r>
    </w:p>
    <w:p w:rsidR="00FA74A3" w:rsidRDefault="00FA74A3" w:rsidP="00FA74A3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Način obavljanja prethodne provjere znanja i sposobnosti kandidata i područja iz kojih se provjera vrši te pravni i drugi izvori za pripremanje kandidata za provjeru znanja objavljeni su na web stanici Općine Sveti Ilija </w:t>
      </w:r>
      <w:hyperlink r:id="rId7" w:history="1">
        <w:r w:rsidRPr="00A127E7">
          <w:rPr>
            <w:rStyle w:val="Hiperveza"/>
            <w:rFonts w:ascii="Century Gothic" w:hAnsi="Century Gothic" w:cs="Calibri"/>
            <w:lang w:eastAsia="x-none"/>
          </w:rPr>
          <w:t>www.opcina-sveti-ilija.hr</w:t>
        </w:r>
      </w:hyperlink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 w15:restartNumberingAfterBreak="0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8C"/>
    <w:rsid w:val="001042FE"/>
    <w:rsid w:val="001166DD"/>
    <w:rsid w:val="00142974"/>
    <w:rsid w:val="00177C72"/>
    <w:rsid w:val="002035C1"/>
    <w:rsid w:val="00260AF1"/>
    <w:rsid w:val="00310FDE"/>
    <w:rsid w:val="0064187F"/>
    <w:rsid w:val="006926DF"/>
    <w:rsid w:val="007B500F"/>
    <w:rsid w:val="00814FF6"/>
    <w:rsid w:val="008207A4"/>
    <w:rsid w:val="0082408C"/>
    <w:rsid w:val="00A00FC4"/>
    <w:rsid w:val="00A46AED"/>
    <w:rsid w:val="00A565B0"/>
    <w:rsid w:val="00DF238D"/>
    <w:rsid w:val="00ED17C4"/>
    <w:rsid w:val="00F03EA0"/>
    <w:rsid w:val="00F6595C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2DB7-7DBC-469A-BE3A-EA8C85D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veti-il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145F-7185-417C-B811-5E91A6B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10</cp:revision>
  <cp:lastPrinted>2016-12-16T14:01:00Z</cp:lastPrinted>
  <dcterms:created xsi:type="dcterms:W3CDTF">2016-12-16T14:06:00Z</dcterms:created>
  <dcterms:modified xsi:type="dcterms:W3CDTF">2017-01-13T11:49:00Z</dcterms:modified>
</cp:coreProperties>
</file>