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856C" w14:textId="1A6F121C" w:rsidR="00214B50" w:rsidRPr="00214B50" w:rsidRDefault="00214B50" w:rsidP="00214B50">
      <w:pPr>
        <w:keepNext/>
        <w:outlineLvl w:val="3"/>
        <w:rPr>
          <w:b/>
          <w:color w:val="000000"/>
          <w:szCs w:val="20"/>
        </w:rPr>
      </w:pPr>
      <w:r w:rsidRPr="00214B50">
        <w:rPr>
          <w:b/>
          <w:noProof/>
          <w:color w:val="000000"/>
          <w:szCs w:val="20"/>
        </w:rPr>
        <w:drawing>
          <wp:anchor distT="0" distB="0" distL="114300" distR="114300" simplePos="0" relativeHeight="251659264" behindDoc="0" locked="0" layoutInCell="0" allowOverlap="1" wp14:anchorId="408B7C54" wp14:editId="4963F306">
            <wp:simplePos x="0" y="0"/>
            <wp:positionH relativeFrom="column">
              <wp:posOffset>742950</wp:posOffset>
            </wp:positionH>
            <wp:positionV relativeFrom="paragraph">
              <wp:posOffset>0</wp:posOffset>
            </wp:positionV>
            <wp:extent cx="457200" cy="548640"/>
            <wp:effectExtent l="0" t="0" r="0" b="381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B50">
        <w:rPr>
          <w:b/>
          <w:color w:val="000000"/>
          <w:szCs w:val="20"/>
        </w:rPr>
        <w:t xml:space="preserve">    REPUBLIKA HRVATSKA</w:t>
      </w:r>
    </w:p>
    <w:p w14:paraId="67645114" w14:textId="77777777" w:rsidR="00214B50" w:rsidRPr="00214B50" w:rsidRDefault="00214B50" w:rsidP="00214B50">
      <w:pPr>
        <w:keepNext/>
        <w:outlineLvl w:val="0"/>
        <w:rPr>
          <w:b/>
          <w:bCs/>
          <w:color w:val="000000"/>
          <w:szCs w:val="20"/>
        </w:rPr>
      </w:pPr>
      <w:r w:rsidRPr="00214B50">
        <w:rPr>
          <w:b/>
          <w:bCs/>
          <w:color w:val="000000"/>
          <w:szCs w:val="20"/>
        </w:rPr>
        <w:t xml:space="preserve"> VARAŽDINSKA ŽUPANIJA</w:t>
      </w:r>
    </w:p>
    <w:p w14:paraId="0E876C19" w14:textId="77777777" w:rsidR="00214B50" w:rsidRPr="00214B50" w:rsidRDefault="00214B50" w:rsidP="00214B50">
      <w:pPr>
        <w:keepNext/>
        <w:outlineLvl w:val="1"/>
        <w:rPr>
          <w:b/>
          <w:szCs w:val="20"/>
        </w:rPr>
      </w:pPr>
      <w:r w:rsidRPr="00214B50">
        <w:rPr>
          <w:b/>
          <w:szCs w:val="20"/>
        </w:rPr>
        <w:t xml:space="preserve">      OPĆINA SVETI ILIJA</w:t>
      </w:r>
    </w:p>
    <w:p w14:paraId="7C4AA9E9" w14:textId="77777777" w:rsidR="00214B50" w:rsidRPr="00214B50" w:rsidRDefault="00214B50" w:rsidP="00214B50">
      <w:pPr>
        <w:keepNext/>
        <w:outlineLvl w:val="1"/>
        <w:rPr>
          <w:b/>
          <w:szCs w:val="20"/>
        </w:rPr>
      </w:pPr>
    </w:p>
    <w:p w14:paraId="57653DA3" w14:textId="77777777" w:rsidR="00214B50" w:rsidRPr="00214B50" w:rsidRDefault="00214B50" w:rsidP="00214B50">
      <w:pPr>
        <w:keepNext/>
        <w:outlineLvl w:val="1"/>
        <w:rPr>
          <w:b/>
          <w:szCs w:val="20"/>
        </w:rPr>
      </w:pPr>
      <w:r w:rsidRPr="00214B50">
        <w:rPr>
          <w:b/>
          <w:szCs w:val="20"/>
        </w:rPr>
        <w:t xml:space="preserve">Trg Josipa </w:t>
      </w:r>
      <w:proofErr w:type="spellStart"/>
      <w:r w:rsidRPr="00214B50">
        <w:rPr>
          <w:b/>
          <w:szCs w:val="20"/>
        </w:rPr>
        <w:t>Godrijana</w:t>
      </w:r>
      <w:proofErr w:type="spellEnd"/>
      <w:r w:rsidRPr="00214B50">
        <w:rPr>
          <w:b/>
          <w:szCs w:val="20"/>
        </w:rPr>
        <w:t xml:space="preserve"> 2</w:t>
      </w:r>
    </w:p>
    <w:p w14:paraId="61FA88EE" w14:textId="77777777" w:rsidR="00214B50" w:rsidRPr="00214B50" w:rsidRDefault="00214B50" w:rsidP="00214B50">
      <w:pPr>
        <w:keepNext/>
        <w:outlineLvl w:val="1"/>
        <w:rPr>
          <w:b/>
          <w:szCs w:val="20"/>
        </w:rPr>
      </w:pPr>
      <w:r w:rsidRPr="00214B50">
        <w:rPr>
          <w:b/>
          <w:szCs w:val="20"/>
        </w:rPr>
        <w:t>42214 Sveti Ilija</w:t>
      </w:r>
    </w:p>
    <w:p w14:paraId="6363EFD2" w14:textId="77777777" w:rsidR="00214B50" w:rsidRPr="00214B50" w:rsidRDefault="00214B50" w:rsidP="00214B50"/>
    <w:p w14:paraId="0BF43192" w14:textId="18858C6F" w:rsidR="00214B50" w:rsidRPr="00214B50" w:rsidRDefault="00214B50" w:rsidP="00214B50">
      <w:pPr>
        <w:rPr>
          <w:sz w:val="22"/>
          <w:szCs w:val="22"/>
          <w:lang w:eastAsia="hr-HR"/>
        </w:rPr>
      </w:pPr>
      <w:r w:rsidRPr="00214B50">
        <w:rPr>
          <w:sz w:val="22"/>
          <w:szCs w:val="22"/>
          <w:lang w:eastAsia="hr-HR"/>
        </w:rPr>
        <w:t xml:space="preserve">Sveti Ilija; </w:t>
      </w:r>
      <w:r w:rsidR="001826EF">
        <w:rPr>
          <w:sz w:val="22"/>
          <w:szCs w:val="22"/>
          <w:lang w:eastAsia="hr-HR"/>
        </w:rPr>
        <w:t>01.09.</w:t>
      </w:r>
      <w:r w:rsidRPr="00214B50">
        <w:rPr>
          <w:sz w:val="22"/>
          <w:szCs w:val="22"/>
          <w:lang w:eastAsia="hr-HR"/>
        </w:rPr>
        <w:t>2022.</w:t>
      </w:r>
    </w:p>
    <w:p w14:paraId="321E5F31" w14:textId="77777777" w:rsidR="00214B50" w:rsidRPr="00214B50" w:rsidRDefault="00214B50" w:rsidP="00214B50">
      <w:pPr>
        <w:rPr>
          <w:sz w:val="22"/>
          <w:szCs w:val="22"/>
        </w:rPr>
      </w:pPr>
    </w:p>
    <w:p w14:paraId="4B773BB9" w14:textId="77777777" w:rsidR="00214B50" w:rsidRDefault="00214B50" w:rsidP="003900FC">
      <w:pPr>
        <w:pStyle w:val="Tijeloteksta"/>
        <w:rPr>
          <w:sz w:val="22"/>
          <w:szCs w:val="22"/>
        </w:rPr>
      </w:pPr>
    </w:p>
    <w:p w14:paraId="1AF274A5" w14:textId="1BCA001A" w:rsidR="003900FC" w:rsidRPr="006109EC" w:rsidRDefault="001826EF" w:rsidP="003900FC">
      <w:pPr>
        <w:pStyle w:val="Tijeloteksta"/>
      </w:pPr>
      <w:r w:rsidRPr="006109EC">
        <w:t>OBRAZLOŽENJE POLUGODIŠNJEG IZVJEŠTAJA O IZVRŠENJU PRORAČUNA</w:t>
      </w:r>
      <w:r w:rsidR="003900FC" w:rsidRPr="006109EC">
        <w:t xml:space="preserve"> ZA RAZDOBLJE 01.01.202</w:t>
      </w:r>
      <w:r w:rsidR="00214B50" w:rsidRPr="006109EC">
        <w:t>2</w:t>
      </w:r>
      <w:r w:rsidR="003900FC" w:rsidRPr="006109EC">
        <w:t>. – 3</w:t>
      </w:r>
      <w:r w:rsidR="00247C25" w:rsidRPr="006109EC">
        <w:t>0</w:t>
      </w:r>
      <w:r w:rsidR="003900FC" w:rsidRPr="006109EC">
        <w:t>.</w:t>
      </w:r>
      <w:r w:rsidR="00247C25" w:rsidRPr="006109EC">
        <w:t>06</w:t>
      </w:r>
      <w:r w:rsidR="003900FC" w:rsidRPr="006109EC">
        <w:t>.202</w:t>
      </w:r>
      <w:r w:rsidR="00247C25" w:rsidRPr="006109EC">
        <w:t>2</w:t>
      </w:r>
      <w:r w:rsidR="003900FC" w:rsidRPr="006109EC">
        <w:t>.</w:t>
      </w:r>
    </w:p>
    <w:p w14:paraId="6271947D" w14:textId="77777777" w:rsidR="003900FC" w:rsidRPr="006109EC" w:rsidRDefault="003900FC" w:rsidP="003900FC">
      <w:pPr>
        <w:pStyle w:val="Tijeloteksta"/>
        <w:jc w:val="left"/>
      </w:pPr>
    </w:p>
    <w:p w14:paraId="3A5A623E" w14:textId="77777777" w:rsidR="003900FC" w:rsidRDefault="003900FC" w:rsidP="003900FC">
      <w:pPr>
        <w:pStyle w:val="Tijeloteksta"/>
        <w:jc w:val="left"/>
        <w:rPr>
          <w:sz w:val="22"/>
          <w:szCs w:val="22"/>
        </w:rPr>
      </w:pPr>
      <w:r>
        <w:rPr>
          <w:sz w:val="22"/>
          <w:szCs w:val="22"/>
        </w:rPr>
        <w:t>UVODNA BILJEŠKA</w:t>
      </w:r>
    </w:p>
    <w:p w14:paraId="3877AE67" w14:textId="77777777" w:rsidR="003900FC" w:rsidRDefault="003900FC" w:rsidP="003900FC">
      <w:pPr>
        <w:pStyle w:val="Tijeloteksta"/>
        <w:jc w:val="left"/>
        <w:rPr>
          <w:sz w:val="22"/>
          <w:szCs w:val="22"/>
        </w:rPr>
      </w:pPr>
    </w:p>
    <w:p w14:paraId="626A8300" w14:textId="77777777" w:rsidR="003900FC" w:rsidRPr="00EB7134" w:rsidRDefault="003900FC" w:rsidP="003900FC">
      <w:pPr>
        <w:pStyle w:val="Tijeloteksta"/>
        <w:jc w:val="left"/>
        <w:rPr>
          <w:b w:val="0"/>
          <w:bCs w:val="0"/>
          <w:sz w:val="22"/>
          <w:szCs w:val="22"/>
        </w:rPr>
      </w:pPr>
      <w:r w:rsidRPr="00EB7134">
        <w:rPr>
          <w:b w:val="0"/>
          <w:bCs w:val="0"/>
          <w:sz w:val="22"/>
          <w:szCs w:val="22"/>
        </w:rPr>
        <w:t>Naziv obveznika: OPĆINA SVETI ILIJA</w:t>
      </w:r>
    </w:p>
    <w:p w14:paraId="2B30922F" w14:textId="77777777" w:rsidR="003900FC" w:rsidRPr="00EB7134" w:rsidRDefault="003900FC" w:rsidP="003900FC">
      <w:pPr>
        <w:pStyle w:val="Tijeloteksta"/>
        <w:jc w:val="left"/>
        <w:rPr>
          <w:b w:val="0"/>
          <w:bCs w:val="0"/>
          <w:sz w:val="22"/>
          <w:szCs w:val="22"/>
        </w:rPr>
      </w:pPr>
      <w:r w:rsidRPr="00EB7134">
        <w:rPr>
          <w:b w:val="0"/>
          <w:bCs w:val="0"/>
          <w:sz w:val="22"/>
          <w:szCs w:val="22"/>
        </w:rPr>
        <w:t xml:space="preserve">Sjedište obveznika: Sveti Ilija, Trg Josipa </w:t>
      </w:r>
      <w:proofErr w:type="spellStart"/>
      <w:r w:rsidRPr="00EB7134">
        <w:rPr>
          <w:b w:val="0"/>
          <w:bCs w:val="0"/>
          <w:sz w:val="22"/>
          <w:szCs w:val="22"/>
        </w:rPr>
        <w:t>Godrijana</w:t>
      </w:r>
      <w:proofErr w:type="spellEnd"/>
      <w:r w:rsidRPr="00EB7134">
        <w:rPr>
          <w:b w:val="0"/>
          <w:bCs w:val="0"/>
          <w:sz w:val="22"/>
          <w:szCs w:val="22"/>
        </w:rPr>
        <w:t xml:space="preserve"> 2, 42214 Sveti Ilija</w:t>
      </w:r>
    </w:p>
    <w:p w14:paraId="0164E03B" w14:textId="77777777" w:rsidR="003900FC" w:rsidRPr="002763DC" w:rsidRDefault="003900FC" w:rsidP="003900FC">
      <w:pPr>
        <w:rPr>
          <w:sz w:val="22"/>
          <w:szCs w:val="22"/>
        </w:rPr>
      </w:pPr>
      <w:r w:rsidRPr="002763DC">
        <w:rPr>
          <w:sz w:val="22"/>
          <w:szCs w:val="22"/>
        </w:rPr>
        <w:t>Matični broj: 02653834</w:t>
      </w:r>
    </w:p>
    <w:p w14:paraId="15FAF208" w14:textId="77777777" w:rsidR="003900FC" w:rsidRPr="002763DC" w:rsidRDefault="003900FC" w:rsidP="003900FC">
      <w:pPr>
        <w:rPr>
          <w:sz w:val="22"/>
          <w:szCs w:val="22"/>
        </w:rPr>
      </w:pPr>
      <w:r w:rsidRPr="002763DC">
        <w:rPr>
          <w:sz w:val="22"/>
          <w:szCs w:val="22"/>
        </w:rPr>
        <w:t xml:space="preserve">OIB: 10443118219 </w:t>
      </w:r>
    </w:p>
    <w:p w14:paraId="5723D208" w14:textId="71EBD17B" w:rsidR="003900FC" w:rsidRPr="00050102" w:rsidRDefault="003900FC" w:rsidP="003900FC">
      <w:pPr>
        <w:rPr>
          <w:b/>
          <w:bCs/>
          <w:sz w:val="22"/>
          <w:szCs w:val="22"/>
        </w:rPr>
      </w:pPr>
      <w:r w:rsidRPr="00050102">
        <w:rPr>
          <w:b/>
          <w:bCs/>
          <w:sz w:val="22"/>
          <w:szCs w:val="22"/>
        </w:rPr>
        <w:t>Razina 2</w:t>
      </w:r>
      <w:r w:rsidR="009A2326">
        <w:rPr>
          <w:b/>
          <w:bCs/>
          <w:sz w:val="22"/>
          <w:szCs w:val="22"/>
        </w:rPr>
        <w:t>3</w:t>
      </w:r>
      <w:r w:rsidRPr="00050102">
        <w:rPr>
          <w:b/>
          <w:bCs/>
          <w:sz w:val="22"/>
          <w:szCs w:val="22"/>
        </w:rPr>
        <w:t xml:space="preserve"> </w:t>
      </w:r>
    </w:p>
    <w:p w14:paraId="143D59EF" w14:textId="77777777" w:rsidR="003900FC" w:rsidRPr="002763DC" w:rsidRDefault="003900FC" w:rsidP="003900FC">
      <w:pPr>
        <w:rPr>
          <w:sz w:val="22"/>
          <w:szCs w:val="22"/>
        </w:rPr>
      </w:pPr>
      <w:r w:rsidRPr="002763DC">
        <w:rPr>
          <w:sz w:val="22"/>
          <w:szCs w:val="22"/>
        </w:rPr>
        <w:t>Djelatnost: 8411</w:t>
      </w:r>
      <w:r>
        <w:rPr>
          <w:sz w:val="22"/>
          <w:szCs w:val="22"/>
        </w:rPr>
        <w:t>- Opće djelatnosti javne uprave</w:t>
      </w:r>
    </w:p>
    <w:p w14:paraId="10AFD987" w14:textId="77777777" w:rsidR="003900FC" w:rsidRDefault="003900FC" w:rsidP="003900FC">
      <w:pPr>
        <w:rPr>
          <w:sz w:val="22"/>
          <w:szCs w:val="22"/>
        </w:rPr>
      </w:pPr>
      <w:r w:rsidRPr="002763DC">
        <w:rPr>
          <w:sz w:val="22"/>
          <w:szCs w:val="22"/>
        </w:rPr>
        <w:t>RKP: 31421</w:t>
      </w:r>
    </w:p>
    <w:p w14:paraId="4538D042" w14:textId="19D3BCBC" w:rsidR="003900FC" w:rsidRDefault="003900FC" w:rsidP="003900FC">
      <w:pPr>
        <w:rPr>
          <w:sz w:val="22"/>
          <w:szCs w:val="22"/>
        </w:rPr>
      </w:pPr>
      <w:r>
        <w:rPr>
          <w:sz w:val="22"/>
          <w:szCs w:val="22"/>
        </w:rPr>
        <w:t xml:space="preserve">IBAN: HR 182360000 1843800005, račun za redovno poslovanje otvoren kod Zagrebačke banke Zagreb </w:t>
      </w:r>
    </w:p>
    <w:p w14:paraId="6AFC35D0" w14:textId="68A94B45" w:rsidR="002F6B74" w:rsidRDefault="002F6B74" w:rsidP="003900FC">
      <w:pPr>
        <w:rPr>
          <w:sz w:val="22"/>
          <w:szCs w:val="22"/>
        </w:rPr>
      </w:pPr>
    </w:p>
    <w:p w14:paraId="0570C1A4" w14:textId="77777777" w:rsidR="002F6B74" w:rsidRPr="00AE48BF" w:rsidRDefault="002F6B74" w:rsidP="002F6B74">
      <w:pPr>
        <w:rPr>
          <w:b/>
          <w:bCs/>
          <w:sz w:val="22"/>
          <w:szCs w:val="22"/>
        </w:rPr>
      </w:pPr>
      <w:r>
        <w:rPr>
          <w:sz w:val="22"/>
          <w:szCs w:val="22"/>
        </w:rPr>
        <w:t xml:space="preserve">PRORAČUNSKI KORISNIK: </w:t>
      </w:r>
      <w:r w:rsidRPr="00AE48BF">
        <w:rPr>
          <w:b/>
          <w:bCs/>
          <w:sz w:val="22"/>
          <w:szCs w:val="22"/>
        </w:rPr>
        <w:t xml:space="preserve">DJEČJI VRTIĆ „GUMBEK“ </w:t>
      </w:r>
    </w:p>
    <w:p w14:paraId="51C170CA" w14:textId="77777777" w:rsidR="002F6B74" w:rsidRDefault="002F6B74" w:rsidP="002F6B74">
      <w:pPr>
        <w:rPr>
          <w:sz w:val="22"/>
          <w:szCs w:val="22"/>
        </w:rPr>
      </w:pPr>
      <w:r w:rsidRPr="00FE2E3A">
        <w:rPr>
          <w:sz w:val="22"/>
          <w:szCs w:val="22"/>
        </w:rPr>
        <w:t>Sjedište obveznika: Beletinec, Ulica Stjepana Radića 77, 42214 Sveti Ilija</w:t>
      </w:r>
    </w:p>
    <w:p w14:paraId="0510E8C7" w14:textId="77777777" w:rsidR="002F6B74" w:rsidRPr="00FE2E3A" w:rsidRDefault="002F6B74" w:rsidP="002F6B74">
      <w:pPr>
        <w:rPr>
          <w:sz w:val="22"/>
          <w:szCs w:val="22"/>
        </w:rPr>
      </w:pPr>
      <w:r>
        <w:rPr>
          <w:sz w:val="22"/>
          <w:szCs w:val="22"/>
        </w:rPr>
        <w:t>Broj RKP: 52241</w:t>
      </w:r>
    </w:p>
    <w:p w14:paraId="74BEC347" w14:textId="77777777" w:rsidR="002F6B74" w:rsidRDefault="002F6B74" w:rsidP="002F6B74">
      <w:pPr>
        <w:rPr>
          <w:sz w:val="22"/>
          <w:szCs w:val="22"/>
        </w:rPr>
      </w:pPr>
      <w:r>
        <w:rPr>
          <w:sz w:val="22"/>
          <w:szCs w:val="22"/>
        </w:rPr>
        <w:t>Matični broj: 5462924</w:t>
      </w:r>
    </w:p>
    <w:p w14:paraId="55566258" w14:textId="77777777" w:rsidR="002F6B74" w:rsidRDefault="002F6B74" w:rsidP="002F6B74">
      <w:pPr>
        <w:rPr>
          <w:sz w:val="22"/>
          <w:szCs w:val="22"/>
        </w:rPr>
      </w:pPr>
      <w:r>
        <w:rPr>
          <w:sz w:val="22"/>
          <w:szCs w:val="22"/>
        </w:rPr>
        <w:t>Šifra djelatnosti: 85.10 - Predškolsko obrazovanje</w:t>
      </w:r>
    </w:p>
    <w:p w14:paraId="6E07A501" w14:textId="77777777" w:rsidR="002F6B74" w:rsidRDefault="002F6B74" w:rsidP="002F6B74">
      <w:pPr>
        <w:rPr>
          <w:sz w:val="22"/>
          <w:szCs w:val="22"/>
        </w:rPr>
      </w:pPr>
      <w:r>
        <w:rPr>
          <w:sz w:val="22"/>
          <w:szCs w:val="22"/>
        </w:rPr>
        <w:t>OIB: 39484140118</w:t>
      </w:r>
    </w:p>
    <w:p w14:paraId="36520BCE" w14:textId="77777777" w:rsidR="002F6B74" w:rsidRDefault="002F6B74" w:rsidP="002F6B74">
      <w:pPr>
        <w:rPr>
          <w:sz w:val="22"/>
          <w:szCs w:val="22"/>
        </w:rPr>
      </w:pPr>
      <w:r>
        <w:rPr>
          <w:sz w:val="22"/>
          <w:szCs w:val="22"/>
        </w:rPr>
        <w:t>IBAN: HR 34 2360000 1102943011 račun za redovno poslovanje otvoren kod Zagrebačke banke Zagreb</w:t>
      </w:r>
    </w:p>
    <w:p w14:paraId="049B9BCE" w14:textId="77777777" w:rsidR="002F6B74" w:rsidRDefault="002F6B74" w:rsidP="002F6B74">
      <w:pPr>
        <w:rPr>
          <w:sz w:val="22"/>
          <w:szCs w:val="22"/>
        </w:rPr>
      </w:pPr>
      <w:r>
        <w:rPr>
          <w:sz w:val="22"/>
          <w:szCs w:val="22"/>
        </w:rPr>
        <w:t>Početak rada: 01.10.2021.</w:t>
      </w:r>
    </w:p>
    <w:p w14:paraId="60B4E9A1" w14:textId="77777777" w:rsidR="002F6B74" w:rsidRDefault="002F6B74" w:rsidP="002F6B74">
      <w:pPr>
        <w:rPr>
          <w:sz w:val="22"/>
          <w:szCs w:val="22"/>
        </w:rPr>
      </w:pPr>
      <w:r>
        <w:rPr>
          <w:sz w:val="22"/>
          <w:szCs w:val="22"/>
        </w:rPr>
        <w:t>Upisan u sudski registar 19.08.2021.g.</w:t>
      </w:r>
    </w:p>
    <w:p w14:paraId="17739D62" w14:textId="77777777" w:rsidR="002F6B74" w:rsidRDefault="002F6B74" w:rsidP="002F6B74">
      <w:pPr>
        <w:rPr>
          <w:sz w:val="22"/>
          <w:szCs w:val="22"/>
        </w:rPr>
      </w:pPr>
    </w:p>
    <w:p w14:paraId="30188389" w14:textId="77777777" w:rsidR="00247C25" w:rsidRDefault="00247C25" w:rsidP="003900FC">
      <w:pPr>
        <w:rPr>
          <w:sz w:val="22"/>
          <w:szCs w:val="22"/>
        </w:rPr>
      </w:pPr>
    </w:p>
    <w:p w14:paraId="432A8723" w14:textId="77777777" w:rsidR="00247C25" w:rsidRPr="00247C25" w:rsidRDefault="00247C25" w:rsidP="00247C25">
      <w:pPr>
        <w:rPr>
          <w:sz w:val="22"/>
          <w:szCs w:val="22"/>
        </w:rPr>
      </w:pPr>
      <w:r w:rsidRPr="00247C25">
        <w:rPr>
          <w:b/>
          <w:bCs/>
          <w:sz w:val="22"/>
          <w:szCs w:val="22"/>
        </w:rPr>
        <w:t>Zakonodavni okvir</w:t>
      </w:r>
      <w:r w:rsidRPr="00247C25">
        <w:rPr>
          <w:sz w:val="22"/>
          <w:szCs w:val="22"/>
        </w:rPr>
        <w:t>:</w:t>
      </w:r>
    </w:p>
    <w:p w14:paraId="518F128B" w14:textId="0830343E" w:rsidR="00247C25" w:rsidRPr="00247C25" w:rsidRDefault="00247C25" w:rsidP="00247C25">
      <w:pPr>
        <w:numPr>
          <w:ilvl w:val="0"/>
          <w:numId w:val="1"/>
        </w:numPr>
        <w:rPr>
          <w:sz w:val="22"/>
          <w:szCs w:val="22"/>
        </w:rPr>
      </w:pPr>
      <w:r w:rsidRPr="00247C25">
        <w:rPr>
          <w:sz w:val="22"/>
          <w:szCs w:val="22"/>
        </w:rPr>
        <w:t xml:space="preserve">Članak </w:t>
      </w:r>
      <w:r w:rsidR="00002573">
        <w:rPr>
          <w:sz w:val="22"/>
          <w:szCs w:val="22"/>
        </w:rPr>
        <w:t>84</w:t>
      </w:r>
      <w:r w:rsidRPr="00247C25">
        <w:rPr>
          <w:sz w:val="22"/>
          <w:szCs w:val="22"/>
        </w:rPr>
        <w:t xml:space="preserve">. Zakona o proračunu („Narodne novine“,  broj </w:t>
      </w:r>
      <w:r w:rsidR="002F637E">
        <w:rPr>
          <w:sz w:val="22"/>
          <w:szCs w:val="22"/>
        </w:rPr>
        <w:t>144/21</w:t>
      </w:r>
      <w:r w:rsidRPr="00247C25">
        <w:rPr>
          <w:sz w:val="22"/>
          <w:szCs w:val="22"/>
        </w:rPr>
        <w:t>)</w:t>
      </w:r>
    </w:p>
    <w:p w14:paraId="78C74D9D" w14:textId="1B9BE899" w:rsidR="00247C25" w:rsidRPr="00247C25" w:rsidRDefault="00247C25" w:rsidP="00247C25">
      <w:pPr>
        <w:numPr>
          <w:ilvl w:val="0"/>
          <w:numId w:val="1"/>
        </w:numPr>
        <w:rPr>
          <w:sz w:val="22"/>
          <w:szCs w:val="22"/>
        </w:rPr>
      </w:pPr>
      <w:r w:rsidRPr="00247C25">
        <w:rPr>
          <w:sz w:val="22"/>
          <w:szCs w:val="22"/>
        </w:rPr>
        <w:t xml:space="preserve">Pravilnik o financijskom izvještavanju u proračunskom računovodstvu („Narodne novine“, broj </w:t>
      </w:r>
      <w:r w:rsidR="00BA1914">
        <w:rPr>
          <w:sz w:val="22"/>
          <w:szCs w:val="22"/>
        </w:rPr>
        <w:t>37/22</w:t>
      </w:r>
      <w:r w:rsidRPr="00247C25">
        <w:rPr>
          <w:sz w:val="22"/>
          <w:szCs w:val="22"/>
        </w:rPr>
        <w:t>)</w:t>
      </w:r>
    </w:p>
    <w:p w14:paraId="10F96830" w14:textId="77777777" w:rsidR="00247C25" w:rsidRPr="00247C25" w:rsidRDefault="00247C25" w:rsidP="00247C25">
      <w:pPr>
        <w:rPr>
          <w:sz w:val="22"/>
          <w:szCs w:val="22"/>
        </w:rPr>
      </w:pPr>
    </w:p>
    <w:p w14:paraId="4B1EBF7F" w14:textId="77777777" w:rsidR="00247C25" w:rsidRPr="00247C25" w:rsidRDefault="00247C25" w:rsidP="00247C25">
      <w:pPr>
        <w:rPr>
          <w:b/>
          <w:bCs/>
          <w:sz w:val="22"/>
          <w:szCs w:val="22"/>
        </w:rPr>
      </w:pPr>
      <w:r w:rsidRPr="00247C25">
        <w:rPr>
          <w:b/>
          <w:bCs/>
          <w:sz w:val="22"/>
          <w:szCs w:val="22"/>
        </w:rPr>
        <w:t>Podaci o odgovornoj osobi:</w:t>
      </w:r>
    </w:p>
    <w:p w14:paraId="75A53E9B" w14:textId="2B03B773" w:rsidR="00247C25" w:rsidRDefault="00247C25" w:rsidP="00247C25">
      <w:pPr>
        <w:rPr>
          <w:sz w:val="22"/>
          <w:szCs w:val="22"/>
        </w:rPr>
      </w:pPr>
      <w:r w:rsidRPr="00247C25">
        <w:rPr>
          <w:b/>
          <w:bCs/>
          <w:sz w:val="22"/>
          <w:szCs w:val="22"/>
        </w:rPr>
        <w:t xml:space="preserve">Marin Bosilj, dipl. ing. </w:t>
      </w:r>
      <w:r w:rsidRPr="00247C25">
        <w:rPr>
          <w:sz w:val="22"/>
          <w:szCs w:val="22"/>
        </w:rPr>
        <w:t>iz Beletinca, Radnička ulica 25, OIB 70323459450, općinski načelnik; stupio na dužnost 24.05.2013.g.</w:t>
      </w:r>
    </w:p>
    <w:p w14:paraId="48A18DD8" w14:textId="78CB73DA" w:rsidR="002F6B74" w:rsidRDefault="002F6B74" w:rsidP="00247C25">
      <w:pPr>
        <w:rPr>
          <w:sz w:val="22"/>
          <w:szCs w:val="22"/>
        </w:rPr>
      </w:pPr>
    </w:p>
    <w:p w14:paraId="33BF33BE" w14:textId="77777777" w:rsidR="002F6B74" w:rsidRPr="00EB09BF" w:rsidRDefault="002F6B74" w:rsidP="002F6B74">
      <w:pPr>
        <w:rPr>
          <w:b/>
          <w:bCs/>
          <w:sz w:val="22"/>
          <w:szCs w:val="22"/>
        </w:rPr>
      </w:pPr>
      <w:r w:rsidRPr="00EB09BF">
        <w:rPr>
          <w:b/>
          <w:bCs/>
          <w:sz w:val="22"/>
          <w:szCs w:val="22"/>
        </w:rPr>
        <w:t>Podaci o odgovornoj osobi proračunskog korisnika:</w:t>
      </w:r>
    </w:p>
    <w:p w14:paraId="4930C1F6" w14:textId="77777777" w:rsidR="002F6B74" w:rsidRPr="00720D33" w:rsidRDefault="002F6B74" w:rsidP="002F6B74">
      <w:pPr>
        <w:rPr>
          <w:sz w:val="22"/>
          <w:szCs w:val="22"/>
        </w:rPr>
      </w:pPr>
      <w:r>
        <w:rPr>
          <w:sz w:val="22"/>
          <w:szCs w:val="22"/>
        </w:rPr>
        <w:t xml:space="preserve">Ravnateljica: Dijana </w:t>
      </w:r>
      <w:proofErr w:type="spellStart"/>
      <w:r>
        <w:rPr>
          <w:sz w:val="22"/>
          <w:szCs w:val="22"/>
        </w:rPr>
        <w:t>Ptiček</w:t>
      </w:r>
      <w:proofErr w:type="spellEnd"/>
      <w:r>
        <w:rPr>
          <w:sz w:val="22"/>
          <w:szCs w:val="22"/>
        </w:rPr>
        <w:t xml:space="preserve">, </w:t>
      </w:r>
      <w:proofErr w:type="spellStart"/>
      <w:r>
        <w:rPr>
          <w:sz w:val="22"/>
          <w:szCs w:val="22"/>
        </w:rPr>
        <w:t>univ.bacc.praesc.educ</w:t>
      </w:r>
      <w:proofErr w:type="spellEnd"/>
      <w:r>
        <w:rPr>
          <w:sz w:val="22"/>
          <w:szCs w:val="22"/>
        </w:rPr>
        <w:t>. iz Beletinca, Ulica Stjepana Radića 7, OIB 05175912487, na dužnosti od 01.10.2021.g.</w:t>
      </w:r>
    </w:p>
    <w:p w14:paraId="302870FA" w14:textId="77777777" w:rsidR="002F6B74" w:rsidRPr="00247C25" w:rsidRDefault="002F6B74" w:rsidP="00247C25">
      <w:pPr>
        <w:rPr>
          <w:sz w:val="22"/>
          <w:szCs w:val="22"/>
        </w:rPr>
      </w:pPr>
    </w:p>
    <w:p w14:paraId="4C7EE63D" w14:textId="430FDB2E" w:rsidR="002B2780" w:rsidRDefault="00BA1914" w:rsidP="002B2780">
      <w:pPr>
        <w:jc w:val="center"/>
        <w:rPr>
          <w:b/>
          <w:bCs/>
        </w:rPr>
      </w:pPr>
      <w:r w:rsidRPr="002B2780">
        <w:rPr>
          <w:b/>
          <w:bCs/>
        </w:rPr>
        <w:lastRenderedPageBreak/>
        <w:t>IZVJEŠTAJ O PRIHODIMA I RASHODIMA, PRIMICIMA I IZACIMA</w:t>
      </w:r>
    </w:p>
    <w:p w14:paraId="52584190" w14:textId="33973539" w:rsidR="00226E8C" w:rsidRDefault="00226E8C" w:rsidP="002B2780">
      <w:pPr>
        <w:jc w:val="center"/>
        <w:rPr>
          <w:b/>
          <w:bCs/>
        </w:rPr>
      </w:pPr>
      <w:r>
        <w:rPr>
          <w:b/>
          <w:bCs/>
        </w:rPr>
        <w:t>OPĆI DIO IZVRŠENJA PRORAČUNA</w:t>
      </w:r>
    </w:p>
    <w:p w14:paraId="517D10B4" w14:textId="392B67E4" w:rsidR="006953A5" w:rsidRDefault="006953A5" w:rsidP="006953A5">
      <w:pPr>
        <w:rPr>
          <w:b/>
          <w:bCs/>
        </w:rPr>
      </w:pPr>
    </w:p>
    <w:p w14:paraId="513D6A0C" w14:textId="707E96F8" w:rsidR="00855E48" w:rsidRDefault="00855E48" w:rsidP="006953A5">
      <w:pPr>
        <w:rPr>
          <w:b/>
          <w:bCs/>
        </w:rPr>
      </w:pPr>
      <w:r>
        <w:rPr>
          <w:b/>
          <w:bCs/>
        </w:rPr>
        <w:t>RAČUN PRIHODA I RASHODA</w:t>
      </w:r>
    </w:p>
    <w:p w14:paraId="23D5099B" w14:textId="251C8B11" w:rsidR="006953A5" w:rsidRPr="00DA50E1" w:rsidRDefault="006953A5" w:rsidP="006953A5">
      <w:r w:rsidRPr="00DA50E1">
        <w:t>Prihodi poslovanja iznose 5.543.750,70 kn</w:t>
      </w:r>
      <w:r w:rsidR="006B7A6D">
        <w:t xml:space="preserve">, </w:t>
      </w:r>
      <w:r w:rsidR="0008330E">
        <w:t>na Općinu se odnosi</w:t>
      </w:r>
      <w:r w:rsidR="003E41C3">
        <w:t xml:space="preserve"> </w:t>
      </w:r>
      <w:r w:rsidR="0008330E">
        <w:t>4.616.</w:t>
      </w:r>
      <w:r w:rsidR="004E5021">
        <w:t>557,16 kn, a na proračunskog korisnika 927.193,54 kn</w:t>
      </w:r>
    </w:p>
    <w:p w14:paraId="66C6EABB" w14:textId="6C979CA3" w:rsidR="006953A5" w:rsidRPr="00DA50E1" w:rsidRDefault="006953A5" w:rsidP="006953A5">
      <w:r w:rsidRPr="00DA50E1">
        <w:t>Prihodi od prodaje nefinancijske imovine</w:t>
      </w:r>
      <w:r w:rsidR="004A0A2F" w:rsidRPr="00DA50E1">
        <w:t xml:space="preserve"> iznose 236</w:t>
      </w:r>
      <w:r w:rsidR="000567B7" w:rsidRPr="00DA50E1">
        <w:t>.417,46 kn</w:t>
      </w:r>
    </w:p>
    <w:p w14:paraId="0F60FFA5" w14:textId="280D0B4E" w:rsidR="000567B7" w:rsidRPr="00DA50E1" w:rsidRDefault="00FB76E3" w:rsidP="006953A5">
      <w:r w:rsidRPr="00DA50E1">
        <w:t>Rashodi poslovanja iznose 4.059.985,63 kn</w:t>
      </w:r>
      <w:r w:rsidR="0013552F">
        <w:t>,</w:t>
      </w:r>
      <w:r w:rsidR="001F054C">
        <w:t xml:space="preserve"> na Općinu se odnosi</w:t>
      </w:r>
      <w:r w:rsidR="00831CBB">
        <w:t xml:space="preserve">  3.159.387,69 kn, a na proračunskog korisnika 900.597,94 kn</w:t>
      </w:r>
    </w:p>
    <w:p w14:paraId="693F8C36" w14:textId="7771F28E" w:rsidR="00FB76E3" w:rsidRPr="00DA50E1" w:rsidRDefault="00FB76E3" w:rsidP="006953A5">
      <w:r w:rsidRPr="00DA50E1">
        <w:t>Rashodi za nabavu nefinancijske imovine iznose 305.951,93 kn</w:t>
      </w:r>
      <w:r w:rsidR="00831CBB">
        <w:t>, na Općinu se odnosi</w:t>
      </w:r>
      <w:r w:rsidR="00AD376A">
        <w:t xml:space="preserve"> 287.333,44 kn, a na proračunskog korisnika 18.618,49 kn</w:t>
      </w:r>
    </w:p>
    <w:p w14:paraId="55B72DF3" w14:textId="386ED37A" w:rsidR="00FB76E3" w:rsidRDefault="00DA50E1" w:rsidP="006953A5">
      <w:r>
        <w:t>Temeljem navedenog ostvaren je višak prihoda nad rashodima u iznosu od 1.414.230,60 kn</w:t>
      </w:r>
    </w:p>
    <w:p w14:paraId="0EB3B36F" w14:textId="5A50A9DF" w:rsidR="00C174B6" w:rsidRDefault="00C174B6" w:rsidP="006953A5">
      <w:r>
        <w:t>Pribrojen je manjak prihoda iz prethodnih godina u iznosu od 1.777.054,10 kn</w:t>
      </w:r>
      <w:r w:rsidR="00F543FA">
        <w:t xml:space="preserve">, koji se na Općinu odnosi u iznosu od </w:t>
      </w:r>
      <w:r w:rsidR="00A75CA9">
        <w:t>1.619.556,08 kn, a na proračunskog koris</w:t>
      </w:r>
      <w:r w:rsidR="00AF7458">
        <w:t>n</w:t>
      </w:r>
      <w:r w:rsidR="00A75CA9">
        <w:t>ika 157.498,02 kn</w:t>
      </w:r>
    </w:p>
    <w:p w14:paraId="7AE16A65" w14:textId="34BBADBC" w:rsidR="00855E48" w:rsidRDefault="00855E48" w:rsidP="006953A5"/>
    <w:p w14:paraId="1F04E7AE" w14:textId="372B24C9" w:rsidR="00855E48" w:rsidRDefault="00855E48" w:rsidP="006953A5">
      <w:pPr>
        <w:rPr>
          <w:b/>
          <w:bCs/>
        </w:rPr>
      </w:pPr>
      <w:r w:rsidRPr="00A12208">
        <w:rPr>
          <w:b/>
          <w:bCs/>
        </w:rPr>
        <w:t>RAČUN FINANCIRANJA</w:t>
      </w:r>
    </w:p>
    <w:p w14:paraId="0D2F16D4" w14:textId="276D096D" w:rsidR="00A12208" w:rsidRPr="000C1AB5" w:rsidRDefault="00A12208" w:rsidP="006953A5">
      <w:r w:rsidRPr="000C1AB5">
        <w:t>Primici od financijske imovine i zaduživanja</w:t>
      </w:r>
      <w:r w:rsidR="00D406B0" w:rsidRPr="000C1AB5">
        <w:t xml:space="preserve"> iznose 1.252.465,27 kn</w:t>
      </w:r>
      <w:r w:rsidR="00412353">
        <w:t>, odnosi se na</w:t>
      </w:r>
      <w:r w:rsidR="008C7464">
        <w:t xml:space="preserve"> okvirni kredit po kunskom računu Zagrebačke banke, a zbog premošćivanja jaza između manjka prihoda nad rashodima</w:t>
      </w:r>
    </w:p>
    <w:p w14:paraId="29FCDAFA" w14:textId="77777777" w:rsidR="00525D16" w:rsidRDefault="00D406B0" w:rsidP="00525D16">
      <w:pPr>
        <w:jc w:val="both"/>
      </w:pPr>
      <w:bookmarkStart w:id="0" w:name="_Hlk113882549"/>
      <w:r w:rsidRPr="000C1AB5">
        <w:t>Izdaci za financijsku</w:t>
      </w:r>
      <w:r w:rsidR="00262FEB" w:rsidRPr="000C1AB5">
        <w:t xml:space="preserve"> imovinu i otplate zajmova iznose 2.745.859,37 k</w:t>
      </w:r>
      <w:r w:rsidR="00525D16">
        <w:t>, a odnosi se na:</w:t>
      </w:r>
    </w:p>
    <w:p w14:paraId="6C7ACC8A" w14:textId="5D64F94A" w:rsidR="00525D16" w:rsidRDefault="004C64E1" w:rsidP="00525D16">
      <w:pPr>
        <w:jc w:val="both"/>
        <w:rPr>
          <w:sz w:val="22"/>
          <w:szCs w:val="22"/>
        </w:rPr>
      </w:pPr>
      <w:r>
        <w:rPr>
          <w:bCs/>
          <w:sz w:val="22"/>
          <w:szCs w:val="22"/>
        </w:rPr>
        <w:t>-</w:t>
      </w:r>
      <w:r w:rsidR="00525D16">
        <w:rPr>
          <w:bCs/>
          <w:sz w:val="22"/>
          <w:szCs w:val="22"/>
        </w:rPr>
        <w:t>iznos od 348.039,40 kn odnosi se na otplatu glavnice za katastarsku izmjeru „Croatia“ banci</w:t>
      </w:r>
      <w:r w:rsidR="00525D16" w:rsidRPr="00225C35">
        <w:rPr>
          <w:sz w:val="22"/>
          <w:szCs w:val="22"/>
        </w:rPr>
        <w:t xml:space="preserve"> </w:t>
      </w:r>
      <w:r w:rsidR="00525D16">
        <w:rPr>
          <w:sz w:val="22"/>
          <w:szCs w:val="22"/>
        </w:rPr>
        <w:t>Zagreb. Općina Sveti Ilija je u 2014.g. dobila dugoročni kredit od Croatia banke u iznosu od  3.099.831 kn,  rok korištenja kredita je bio do 31.12.2016.g., a otplata je na 6 godina, bez počeka u 25 rata jednake tromjesečne rate, prva rata je dospjela 31.03.2017.g., a kredit je primljen za „Katastarsku izmjeru Općine Sveti Ilija“ u okviru programa „Infrastruktura“. Općina je otplatila 23 rate kredita, ostale su još 2 rate za otplatiti u iznosu od 279.012,12 kn,</w:t>
      </w:r>
    </w:p>
    <w:p w14:paraId="540412D1" w14:textId="0201D79A" w:rsidR="00525D16" w:rsidRDefault="004C64E1" w:rsidP="00525D16">
      <w:pPr>
        <w:jc w:val="both"/>
        <w:rPr>
          <w:bCs/>
          <w:sz w:val="22"/>
          <w:szCs w:val="22"/>
        </w:rPr>
      </w:pPr>
      <w:r>
        <w:rPr>
          <w:bCs/>
          <w:sz w:val="22"/>
          <w:szCs w:val="22"/>
        </w:rPr>
        <w:t>-o</w:t>
      </w:r>
      <w:r w:rsidR="00525D16">
        <w:rPr>
          <w:bCs/>
          <w:sz w:val="22"/>
          <w:szCs w:val="22"/>
        </w:rPr>
        <w:t>tplata glavnice primljenih kredita od tuzemnih kreditnih institucija izvan javnog sektora u iznosu od 2.100.000,04 kn, a odnosi se na povrat kratkoročnog okvirnog kredita Zagrebačkoj banci u iznosu od 1.600.000,00 kn i na otplatu glavnice primljenih kreditnih institucija izvan javnog sektora Zagrebačkoj banci dugoročni kredit za izgradnju dječjeg vrtića u iznosu od 500.000,04 kn</w:t>
      </w:r>
    </w:p>
    <w:p w14:paraId="3B52C93F" w14:textId="5ED96891" w:rsidR="00525D16" w:rsidRDefault="004C64E1" w:rsidP="00525D16">
      <w:pPr>
        <w:jc w:val="both"/>
        <w:rPr>
          <w:sz w:val="22"/>
          <w:szCs w:val="22"/>
        </w:rPr>
      </w:pPr>
      <w:r>
        <w:rPr>
          <w:sz w:val="22"/>
          <w:szCs w:val="22"/>
        </w:rPr>
        <w:t>-o</w:t>
      </w:r>
      <w:r w:rsidR="00525D16">
        <w:rPr>
          <w:sz w:val="22"/>
          <w:szCs w:val="22"/>
        </w:rPr>
        <w:t>tplata glavnice primljenih zajmova od državnog proračuna u iznosu od 297.819,93 kn, općina je podmirila dug zajma po godišnjoj prijavi za nedostatna sredstva u iznosu od 293.588,48 kn i zajma za odgođena plaćanja u iznosu od 4.231,45 kn</w:t>
      </w:r>
    </w:p>
    <w:bookmarkEnd w:id="0"/>
    <w:p w14:paraId="72C832FE" w14:textId="71FF503F" w:rsidR="00D406B0" w:rsidRPr="000C1AB5" w:rsidRDefault="00D406B0" w:rsidP="006953A5"/>
    <w:p w14:paraId="67E6A899" w14:textId="2E1CA7C6" w:rsidR="00262FEB" w:rsidRDefault="00262FEB" w:rsidP="006953A5">
      <w:r w:rsidRPr="000C1AB5">
        <w:t xml:space="preserve">Temeljem navedenog ostvaren je manjak prihoda </w:t>
      </w:r>
      <w:r w:rsidR="000C1AB5" w:rsidRPr="000C1AB5">
        <w:t>u iznosu od 1.493.394,10 kn</w:t>
      </w:r>
    </w:p>
    <w:p w14:paraId="1C5D26E1" w14:textId="77777777" w:rsidR="002D3631" w:rsidRDefault="002D3631" w:rsidP="006953A5"/>
    <w:p w14:paraId="2F0F09B2" w14:textId="2D70C2E2" w:rsidR="000C1AB5" w:rsidRDefault="000C1AB5" w:rsidP="006953A5">
      <w:r>
        <w:t>Ukupni prihodi i primici iznose 7.032.633,43 kn</w:t>
      </w:r>
      <w:r w:rsidR="004913DD">
        <w:t xml:space="preserve">, na Općinu se odnosi </w:t>
      </w:r>
      <w:r w:rsidR="00A1633D">
        <w:t>6.105.439,89 kn, a na proračunskog korisnika 927.193,54 kn</w:t>
      </w:r>
    </w:p>
    <w:p w14:paraId="6D1EBCAE" w14:textId="34262FB0" w:rsidR="002D3631" w:rsidRDefault="002D3631" w:rsidP="006953A5">
      <w:r>
        <w:t>Manjak iz prethodnih godina je -1.777.054,10 kn</w:t>
      </w:r>
      <w:r w:rsidR="009C01AB">
        <w:t xml:space="preserve">, na Općinu se odnosi </w:t>
      </w:r>
      <w:r w:rsidR="008C4E25">
        <w:t xml:space="preserve">1.619.556,08 kn, a na proračunskog korisnika </w:t>
      </w:r>
      <w:r w:rsidR="00D260FA">
        <w:t>157.498,02 kn</w:t>
      </w:r>
    </w:p>
    <w:p w14:paraId="0335D898" w14:textId="6700B732" w:rsidR="002D3631" w:rsidRDefault="002D3631" w:rsidP="006953A5">
      <w:r>
        <w:t>Ostvaren je manjak prihoda za razdoblje 1.1.-30.06.2022. u iznosu od 1.856.217,60 kn</w:t>
      </w:r>
      <w:r w:rsidR="004A45BE">
        <w:t xml:space="preserve">, na Općinu se odnosi </w:t>
      </w:r>
      <w:r w:rsidR="00C315A2">
        <w:t>1.706.696,69 kn, a na proračunskog korisnika 149.520,91 kn</w:t>
      </w:r>
    </w:p>
    <w:p w14:paraId="2180DCD2" w14:textId="1F9521E6" w:rsidR="00443BC6" w:rsidRDefault="00443BC6" w:rsidP="006953A5"/>
    <w:p w14:paraId="08EE9186" w14:textId="77777777" w:rsidR="00821279" w:rsidRDefault="00821279" w:rsidP="00821279">
      <w:pPr>
        <w:jc w:val="both"/>
      </w:pPr>
      <w:r>
        <w:t xml:space="preserve">Struktura prihoda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2398"/>
        <w:gridCol w:w="993"/>
      </w:tblGrid>
      <w:tr w:rsidR="00C94617" w14:paraId="21C1EB7C" w14:textId="77777777" w:rsidTr="00821279">
        <w:tc>
          <w:tcPr>
            <w:tcW w:w="6345" w:type="dxa"/>
            <w:tcBorders>
              <w:top w:val="single" w:sz="4" w:space="0" w:color="auto"/>
              <w:left w:val="single" w:sz="4" w:space="0" w:color="auto"/>
              <w:bottom w:val="single" w:sz="4" w:space="0" w:color="auto"/>
              <w:right w:val="single" w:sz="4" w:space="0" w:color="auto"/>
            </w:tcBorders>
            <w:hideMark/>
          </w:tcPr>
          <w:p w14:paraId="43517D53" w14:textId="77777777" w:rsidR="00821279" w:rsidRDefault="00821279">
            <w:pPr>
              <w:jc w:val="both"/>
              <w:rPr>
                <w:b/>
              </w:rPr>
            </w:pPr>
            <w:r>
              <w:rPr>
                <w:b/>
              </w:rPr>
              <w:t>Vrsta prihoda</w:t>
            </w:r>
          </w:p>
        </w:tc>
        <w:tc>
          <w:tcPr>
            <w:tcW w:w="2552" w:type="dxa"/>
            <w:tcBorders>
              <w:top w:val="single" w:sz="4" w:space="0" w:color="auto"/>
              <w:left w:val="single" w:sz="4" w:space="0" w:color="auto"/>
              <w:bottom w:val="single" w:sz="4" w:space="0" w:color="auto"/>
              <w:right w:val="single" w:sz="4" w:space="0" w:color="auto"/>
            </w:tcBorders>
            <w:hideMark/>
          </w:tcPr>
          <w:p w14:paraId="2841A31C" w14:textId="77777777" w:rsidR="00821279" w:rsidRDefault="00821279">
            <w:pPr>
              <w:jc w:val="both"/>
              <w:rPr>
                <w:b/>
              </w:rPr>
            </w:pPr>
            <w:r>
              <w:rPr>
                <w:b/>
              </w:rPr>
              <w:t xml:space="preserve">          Iznos</w:t>
            </w:r>
          </w:p>
        </w:tc>
        <w:tc>
          <w:tcPr>
            <w:tcW w:w="1013" w:type="dxa"/>
            <w:tcBorders>
              <w:top w:val="single" w:sz="4" w:space="0" w:color="auto"/>
              <w:left w:val="single" w:sz="4" w:space="0" w:color="auto"/>
              <w:bottom w:val="single" w:sz="4" w:space="0" w:color="auto"/>
              <w:right w:val="single" w:sz="4" w:space="0" w:color="auto"/>
            </w:tcBorders>
            <w:hideMark/>
          </w:tcPr>
          <w:p w14:paraId="791B275C" w14:textId="77777777" w:rsidR="00821279" w:rsidRDefault="00821279">
            <w:pPr>
              <w:jc w:val="both"/>
              <w:rPr>
                <w:b/>
              </w:rPr>
            </w:pPr>
            <w:r>
              <w:rPr>
                <w:b/>
              </w:rPr>
              <w:t xml:space="preserve">     %</w:t>
            </w:r>
          </w:p>
        </w:tc>
      </w:tr>
      <w:tr w:rsidR="00C94617" w14:paraId="77BF1281" w14:textId="77777777" w:rsidTr="00821279">
        <w:tc>
          <w:tcPr>
            <w:tcW w:w="6345" w:type="dxa"/>
            <w:tcBorders>
              <w:top w:val="single" w:sz="4" w:space="0" w:color="auto"/>
              <w:left w:val="single" w:sz="4" w:space="0" w:color="auto"/>
              <w:bottom w:val="single" w:sz="4" w:space="0" w:color="auto"/>
              <w:right w:val="single" w:sz="4" w:space="0" w:color="auto"/>
            </w:tcBorders>
            <w:hideMark/>
          </w:tcPr>
          <w:p w14:paraId="2773BFA7" w14:textId="77777777" w:rsidR="00821279" w:rsidRDefault="00821279">
            <w:pPr>
              <w:jc w:val="both"/>
            </w:pPr>
            <w:r>
              <w:t>Prihodi od poreza</w:t>
            </w:r>
          </w:p>
        </w:tc>
        <w:tc>
          <w:tcPr>
            <w:tcW w:w="2552" w:type="dxa"/>
            <w:tcBorders>
              <w:top w:val="single" w:sz="4" w:space="0" w:color="auto"/>
              <w:left w:val="single" w:sz="4" w:space="0" w:color="auto"/>
              <w:bottom w:val="single" w:sz="4" w:space="0" w:color="auto"/>
              <w:right w:val="single" w:sz="4" w:space="0" w:color="auto"/>
            </w:tcBorders>
            <w:hideMark/>
          </w:tcPr>
          <w:p w14:paraId="1E8C27B6" w14:textId="440252C4" w:rsidR="00821279" w:rsidRDefault="00821279">
            <w:pPr>
              <w:jc w:val="both"/>
            </w:pPr>
            <w:r>
              <w:t xml:space="preserve">  3.453.746,60</w:t>
            </w:r>
          </w:p>
        </w:tc>
        <w:tc>
          <w:tcPr>
            <w:tcW w:w="1013" w:type="dxa"/>
            <w:tcBorders>
              <w:top w:val="single" w:sz="4" w:space="0" w:color="auto"/>
              <w:left w:val="single" w:sz="4" w:space="0" w:color="auto"/>
              <w:bottom w:val="single" w:sz="4" w:space="0" w:color="auto"/>
              <w:right w:val="single" w:sz="4" w:space="0" w:color="auto"/>
            </w:tcBorders>
            <w:hideMark/>
          </w:tcPr>
          <w:p w14:paraId="01DC33E2" w14:textId="6723F256" w:rsidR="00821279" w:rsidRDefault="00821279">
            <w:pPr>
              <w:jc w:val="both"/>
            </w:pPr>
            <w:r>
              <w:t xml:space="preserve">  </w:t>
            </w:r>
            <w:r w:rsidR="0003053D">
              <w:t>59,76</w:t>
            </w:r>
          </w:p>
        </w:tc>
      </w:tr>
      <w:tr w:rsidR="00C94617" w14:paraId="284AA2F1" w14:textId="77777777" w:rsidTr="00821279">
        <w:tc>
          <w:tcPr>
            <w:tcW w:w="6345" w:type="dxa"/>
            <w:tcBorders>
              <w:top w:val="single" w:sz="4" w:space="0" w:color="auto"/>
              <w:left w:val="single" w:sz="4" w:space="0" w:color="auto"/>
              <w:bottom w:val="single" w:sz="4" w:space="0" w:color="auto"/>
              <w:right w:val="single" w:sz="4" w:space="0" w:color="auto"/>
            </w:tcBorders>
            <w:hideMark/>
          </w:tcPr>
          <w:p w14:paraId="7835E1E9" w14:textId="77777777" w:rsidR="00821279" w:rsidRDefault="00821279">
            <w:pPr>
              <w:jc w:val="both"/>
            </w:pPr>
            <w:r>
              <w:t>Pomoći</w:t>
            </w:r>
          </w:p>
        </w:tc>
        <w:tc>
          <w:tcPr>
            <w:tcW w:w="2552" w:type="dxa"/>
            <w:tcBorders>
              <w:top w:val="single" w:sz="4" w:space="0" w:color="auto"/>
              <w:left w:val="single" w:sz="4" w:space="0" w:color="auto"/>
              <w:bottom w:val="single" w:sz="4" w:space="0" w:color="auto"/>
              <w:right w:val="single" w:sz="4" w:space="0" w:color="auto"/>
            </w:tcBorders>
            <w:hideMark/>
          </w:tcPr>
          <w:p w14:paraId="4628B2F0" w14:textId="67CB4AB3" w:rsidR="00821279" w:rsidRDefault="00821279">
            <w:pPr>
              <w:jc w:val="both"/>
            </w:pPr>
            <w:r>
              <w:t xml:space="preserve">    </w:t>
            </w:r>
            <w:r w:rsidR="00A31A3A">
              <w:t xml:space="preserve"> 579.869,29</w:t>
            </w:r>
          </w:p>
        </w:tc>
        <w:tc>
          <w:tcPr>
            <w:tcW w:w="1013" w:type="dxa"/>
            <w:tcBorders>
              <w:top w:val="single" w:sz="4" w:space="0" w:color="auto"/>
              <w:left w:val="single" w:sz="4" w:space="0" w:color="auto"/>
              <w:bottom w:val="single" w:sz="4" w:space="0" w:color="auto"/>
              <w:right w:val="single" w:sz="4" w:space="0" w:color="auto"/>
            </w:tcBorders>
            <w:hideMark/>
          </w:tcPr>
          <w:p w14:paraId="22656E71" w14:textId="53BA4484" w:rsidR="00821279" w:rsidRDefault="00821279">
            <w:pPr>
              <w:jc w:val="both"/>
            </w:pPr>
            <w:r>
              <w:t xml:space="preserve">  1</w:t>
            </w:r>
            <w:r w:rsidR="008A40A5">
              <w:t>0,03</w:t>
            </w:r>
          </w:p>
        </w:tc>
      </w:tr>
      <w:tr w:rsidR="00C94617" w14:paraId="1E4E1635" w14:textId="77777777" w:rsidTr="00821279">
        <w:tc>
          <w:tcPr>
            <w:tcW w:w="6345" w:type="dxa"/>
            <w:tcBorders>
              <w:top w:val="single" w:sz="4" w:space="0" w:color="auto"/>
              <w:left w:val="single" w:sz="4" w:space="0" w:color="auto"/>
              <w:bottom w:val="single" w:sz="4" w:space="0" w:color="auto"/>
              <w:right w:val="single" w:sz="4" w:space="0" w:color="auto"/>
            </w:tcBorders>
            <w:hideMark/>
          </w:tcPr>
          <w:p w14:paraId="5259D2BD" w14:textId="77777777" w:rsidR="00821279" w:rsidRDefault="00821279">
            <w:pPr>
              <w:jc w:val="both"/>
            </w:pPr>
            <w:r>
              <w:t>Prihodi od imovine</w:t>
            </w:r>
          </w:p>
        </w:tc>
        <w:tc>
          <w:tcPr>
            <w:tcW w:w="2552" w:type="dxa"/>
            <w:tcBorders>
              <w:top w:val="single" w:sz="4" w:space="0" w:color="auto"/>
              <w:left w:val="single" w:sz="4" w:space="0" w:color="auto"/>
              <w:bottom w:val="single" w:sz="4" w:space="0" w:color="auto"/>
              <w:right w:val="single" w:sz="4" w:space="0" w:color="auto"/>
            </w:tcBorders>
            <w:hideMark/>
          </w:tcPr>
          <w:p w14:paraId="5AF678AC" w14:textId="457655ED" w:rsidR="00821279" w:rsidRDefault="00821279">
            <w:pPr>
              <w:jc w:val="both"/>
            </w:pPr>
            <w:r>
              <w:t xml:space="preserve">     </w:t>
            </w:r>
            <w:r w:rsidR="00A31A3A">
              <w:t>148.060,85</w:t>
            </w:r>
            <w:r>
              <w:t xml:space="preserve"> </w:t>
            </w:r>
          </w:p>
        </w:tc>
        <w:tc>
          <w:tcPr>
            <w:tcW w:w="1013" w:type="dxa"/>
            <w:tcBorders>
              <w:top w:val="single" w:sz="4" w:space="0" w:color="auto"/>
              <w:left w:val="single" w:sz="4" w:space="0" w:color="auto"/>
              <w:bottom w:val="single" w:sz="4" w:space="0" w:color="auto"/>
              <w:right w:val="single" w:sz="4" w:space="0" w:color="auto"/>
            </w:tcBorders>
            <w:hideMark/>
          </w:tcPr>
          <w:p w14:paraId="3C803A6C" w14:textId="153639F4" w:rsidR="00821279" w:rsidRDefault="00821279">
            <w:pPr>
              <w:jc w:val="both"/>
            </w:pPr>
            <w:r>
              <w:t xml:space="preserve">    </w:t>
            </w:r>
            <w:r w:rsidR="00C94617">
              <w:t>2,56</w:t>
            </w:r>
          </w:p>
        </w:tc>
      </w:tr>
      <w:tr w:rsidR="00C94617" w14:paraId="50065F39" w14:textId="77777777" w:rsidTr="00821279">
        <w:tc>
          <w:tcPr>
            <w:tcW w:w="6345" w:type="dxa"/>
            <w:tcBorders>
              <w:top w:val="single" w:sz="4" w:space="0" w:color="auto"/>
              <w:left w:val="single" w:sz="4" w:space="0" w:color="auto"/>
              <w:bottom w:val="single" w:sz="4" w:space="0" w:color="auto"/>
              <w:right w:val="single" w:sz="4" w:space="0" w:color="auto"/>
            </w:tcBorders>
            <w:hideMark/>
          </w:tcPr>
          <w:p w14:paraId="34B6A1FB" w14:textId="77777777" w:rsidR="00821279" w:rsidRDefault="00821279">
            <w:pPr>
              <w:jc w:val="both"/>
            </w:pPr>
            <w:r>
              <w:t>Prihodi po posebnim propisima</w:t>
            </w:r>
          </w:p>
        </w:tc>
        <w:tc>
          <w:tcPr>
            <w:tcW w:w="2552" w:type="dxa"/>
            <w:tcBorders>
              <w:top w:val="single" w:sz="4" w:space="0" w:color="auto"/>
              <w:left w:val="single" w:sz="4" w:space="0" w:color="auto"/>
              <w:bottom w:val="single" w:sz="4" w:space="0" w:color="auto"/>
              <w:right w:val="single" w:sz="4" w:space="0" w:color="auto"/>
            </w:tcBorders>
            <w:hideMark/>
          </w:tcPr>
          <w:p w14:paraId="5D70F2E6" w14:textId="327A8B0B" w:rsidR="00821279" w:rsidRDefault="00821279">
            <w:pPr>
              <w:jc w:val="both"/>
            </w:pPr>
            <w:r>
              <w:t xml:space="preserve">   </w:t>
            </w:r>
            <w:r w:rsidR="0086092F">
              <w:t xml:space="preserve">  984.790,10</w:t>
            </w:r>
            <w:r>
              <w:t xml:space="preserve"> </w:t>
            </w:r>
          </w:p>
        </w:tc>
        <w:tc>
          <w:tcPr>
            <w:tcW w:w="1013" w:type="dxa"/>
            <w:tcBorders>
              <w:top w:val="single" w:sz="4" w:space="0" w:color="auto"/>
              <w:left w:val="single" w:sz="4" w:space="0" w:color="auto"/>
              <w:bottom w:val="single" w:sz="4" w:space="0" w:color="auto"/>
              <w:right w:val="single" w:sz="4" w:space="0" w:color="auto"/>
            </w:tcBorders>
            <w:hideMark/>
          </w:tcPr>
          <w:p w14:paraId="51233DCA" w14:textId="2CFD7F46" w:rsidR="00821279" w:rsidRDefault="00821279">
            <w:pPr>
              <w:jc w:val="both"/>
            </w:pPr>
            <w:r>
              <w:t xml:space="preserve">  </w:t>
            </w:r>
            <w:r w:rsidR="007944FC">
              <w:t xml:space="preserve">   </w:t>
            </w:r>
            <w:r w:rsidR="00781CA8">
              <w:t xml:space="preserve">  </w:t>
            </w:r>
            <w:r w:rsidR="00640F19">
              <w:t>17,04</w:t>
            </w:r>
          </w:p>
        </w:tc>
      </w:tr>
      <w:tr w:rsidR="00C94617" w14:paraId="6B067A83" w14:textId="77777777" w:rsidTr="00821279">
        <w:tc>
          <w:tcPr>
            <w:tcW w:w="6345" w:type="dxa"/>
            <w:tcBorders>
              <w:top w:val="single" w:sz="4" w:space="0" w:color="auto"/>
              <w:left w:val="single" w:sz="4" w:space="0" w:color="auto"/>
              <w:bottom w:val="single" w:sz="4" w:space="0" w:color="auto"/>
              <w:right w:val="single" w:sz="4" w:space="0" w:color="auto"/>
            </w:tcBorders>
            <w:hideMark/>
          </w:tcPr>
          <w:p w14:paraId="1F7FFCAE" w14:textId="77777777" w:rsidR="00821279" w:rsidRDefault="00821279">
            <w:pPr>
              <w:jc w:val="both"/>
            </w:pPr>
            <w:r>
              <w:t>Prihodi od prodaje robe, pruženih usluga i donacija</w:t>
            </w:r>
          </w:p>
        </w:tc>
        <w:tc>
          <w:tcPr>
            <w:tcW w:w="2552" w:type="dxa"/>
            <w:tcBorders>
              <w:top w:val="single" w:sz="4" w:space="0" w:color="auto"/>
              <w:left w:val="single" w:sz="4" w:space="0" w:color="auto"/>
              <w:bottom w:val="single" w:sz="4" w:space="0" w:color="auto"/>
              <w:right w:val="single" w:sz="4" w:space="0" w:color="auto"/>
            </w:tcBorders>
            <w:hideMark/>
          </w:tcPr>
          <w:p w14:paraId="0C0D5311" w14:textId="5636E726" w:rsidR="00821279" w:rsidRDefault="00821279">
            <w:pPr>
              <w:jc w:val="both"/>
            </w:pPr>
            <w:r>
              <w:t xml:space="preserve">       </w:t>
            </w:r>
            <w:r w:rsidR="0086092F">
              <w:t>34.059,45</w:t>
            </w:r>
          </w:p>
        </w:tc>
        <w:tc>
          <w:tcPr>
            <w:tcW w:w="1013" w:type="dxa"/>
            <w:tcBorders>
              <w:top w:val="single" w:sz="4" w:space="0" w:color="auto"/>
              <w:left w:val="single" w:sz="4" w:space="0" w:color="auto"/>
              <w:bottom w:val="single" w:sz="4" w:space="0" w:color="auto"/>
              <w:right w:val="single" w:sz="4" w:space="0" w:color="auto"/>
            </w:tcBorders>
            <w:hideMark/>
          </w:tcPr>
          <w:p w14:paraId="76385AF6" w14:textId="1E04C364" w:rsidR="00821279" w:rsidRDefault="00821279">
            <w:pPr>
              <w:jc w:val="both"/>
            </w:pPr>
            <w:r>
              <w:t xml:space="preserve">    0,</w:t>
            </w:r>
            <w:r w:rsidR="007944FC">
              <w:t>5</w:t>
            </w:r>
            <w:r w:rsidR="00781CA8">
              <w:t>8</w:t>
            </w:r>
          </w:p>
        </w:tc>
      </w:tr>
      <w:tr w:rsidR="00640F19" w14:paraId="7DBCA40F" w14:textId="77777777" w:rsidTr="00821279">
        <w:tc>
          <w:tcPr>
            <w:tcW w:w="6345" w:type="dxa"/>
            <w:tcBorders>
              <w:top w:val="single" w:sz="4" w:space="0" w:color="auto"/>
              <w:left w:val="single" w:sz="4" w:space="0" w:color="auto"/>
              <w:bottom w:val="single" w:sz="4" w:space="0" w:color="auto"/>
              <w:right w:val="single" w:sz="4" w:space="0" w:color="auto"/>
            </w:tcBorders>
          </w:tcPr>
          <w:p w14:paraId="63F7496D" w14:textId="4811E300" w:rsidR="00194ED7" w:rsidRDefault="00194ED7">
            <w:pPr>
              <w:jc w:val="both"/>
            </w:pPr>
            <w:r>
              <w:lastRenderedPageBreak/>
              <w:t>Prihodi iz nadležnog proračuna i od HZZO temeljem ugovornih obveza</w:t>
            </w:r>
          </w:p>
        </w:tc>
        <w:tc>
          <w:tcPr>
            <w:tcW w:w="2552" w:type="dxa"/>
            <w:tcBorders>
              <w:top w:val="single" w:sz="4" w:space="0" w:color="auto"/>
              <w:left w:val="single" w:sz="4" w:space="0" w:color="auto"/>
              <w:bottom w:val="single" w:sz="4" w:space="0" w:color="auto"/>
              <w:right w:val="single" w:sz="4" w:space="0" w:color="auto"/>
            </w:tcBorders>
          </w:tcPr>
          <w:p w14:paraId="20C8D1BC" w14:textId="140866CA" w:rsidR="00194ED7" w:rsidRDefault="00194ED7">
            <w:pPr>
              <w:jc w:val="both"/>
            </w:pPr>
            <w:r>
              <w:t xml:space="preserve">    </w:t>
            </w:r>
            <w:r w:rsidR="00BD0A4E">
              <w:t xml:space="preserve"> </w:t>
            </w:r>
            <w:r>
              <w:t>342.894,96</w:t>
            </w:r>
          </w:p>
        </w:tc>
        <w:tc>
          <w:tcPr>
            <w:tcW w:w="1013" w:type="dxa"/>
            <w:tcBorders>
              <w:top w:val="single" w:sz="4" w:space="0" w:color="auto"/>
              <w:left w:val="single" w:sz="4" w:space="0" w:color="auto"/>
              <w:bottom w:val="single" w:sz="4" w:space="0" w:color="auto"/>
              <w:right w:val="single" w:sz="4" w:space="0" w:color="auto"/>
            </w:tcBorders>
          </w:tcPr>
          <w:p w14:paraId="5322EBCB" w14:textId="2E923EB4" w:rsidR="00194ED7" w:rsidRDefault="00676E62">
            <w:pPr>
              <w:jc w:val="both"/>
            </w:pPr>
            <w:r>
              <w:t xml:space="preserve">   5,93</w:t>
            </w:r>
          </w:p>
        </w:tc>
      </w:tr>
      <w:tr w:rsidR="00C94617" w14:paraId="3E08C65F" w14:textId="77777777" w:rsidTr="00821279">
        <w:tc>
          <w:tcPr>
            <w:tcW w:w="6345" w:type="dxa"/>
            <w:tcBorders>
              <w:top w:val="single" w:sz="4" w:space="0" w:color="auto"/>
              <w:left w:val="single" w:sz="4" w:space="0" w:color="auto"/>
              <w:bottom w:val="single" w:sz="4" w:space="0" w:color="auto"/>
              <w:right w:val="single" w:sz="4" w:space="0" w:color="auto"/>
            </w:tcBorders>
            <w:hideMark/>
          </w:tcPr>
          <w:p w14:paraId="7296EA33" w14:textId="77777777" w:rsidR="00821279" w:rsidRDefault="00821279">
            <w:pPr>
              <w:jc w:val="both"/>
            </w:pPr>
            <w:r>
              <w:t>Kazne, upravne mjere i ostali prihodi</w:t>
            </w:r>
          </w:p>
        </w:tc>
        <w:tc>
          <w:tcPr>
            <w:tcW w:w="2552" w:type="dxa"/>
            <w:tcBorders>
              <w:top w:val="single" w:sz="4" w:space="0" w:color="auto"/>
              <w:left w:val="single" w:sz="4" w:space="0" w:color="auto"/>
              <w:bottom w:val="single" w:sz="4" w:space="0" w:color="auto"/>
              <w:right w:val="single" w:sz="4" w:space="0" w:color="auto"/>
            </w:tcBorders>
            <w:hideMark/>
          </w:tcPr>
          <w:p w14:paraId="22A3950C" w14:textId="60E3243C" w:rsidR="00821279" w:rsidRDefault="00821279">
            <w:pPr>
              <w:jc w:val="both"/>
            </w:pPr>
            <w:r>
              <w:t xml:space="preserve">     </w:t>
            </w:r>
            <w:r w:rsidR="00C74EEA">
              <w:t xml:space="preserve">     </w:t>
            </w:r>
            <w:r>
              <w:t xml:space="preserve">  </w:t>
            </w:r>
            <w:r w:rsidR="00C74EEA">
              <w:t>329,45</w:t>
            </w:r>
            <w:r>
              <w:t xml:space="preserve"> </w:t>
            </w:r>
          </w:p>
        </w:tc>
        <w:tc>
          <w:tcPr>
            <w:tcW w:w="1013" w:type="dxa"/>
            <w:tcBorders>
              <w:top w:val="single" w:sz="4" w:space="0" w:color="auto"/>
              <w:left w:val="single" w:sz="4" w:space="0" w:color="auto"/>
              <w:bottom w:val="single" w:sz="4" w:space="0" w:color="auto"/>
              <w:right w:val="single" w:sz="4" w:space="0" w:color="auto"/>
            </w:tcBorders>
            <w:hideMark/>
          </w:tcPr>
          <w:p w14:paraId="7899C433" w14:textId="6ACCE53F" w:rsidR="00821279" w:rsidRDefault="00821279">
            <w:pPr>
              <w:jc w:val="both"/>
            </w:pPr>
            <w:r>
              <w:t xml:space="preserve">    0,</w:t>
            </w:r>
            <w:r w:rsidR="00772FC5">
              <w:t>01</w:t>
            </w:r>
          </w:p>
        </w:tc>
      </w:tr>
      <w:tr w:rsidR="00C94617" w14:paraId="0050BF1D" w14:textId="77777777" w:rsidTr="00821279">
        <w:tc>
          <w:tcPr>
            <w:tcW w:w="6345" w:type="dxa"/>
            <w:tcBorders>
              <w:top w:val="single" w:sz="4" w:space="0" w:color="auto"/>
              <w:left w:val="single" w:sz="4" w:space="0" w:color="auto"/>
              <w:bottom w:val="single" w:sz="4" w:space="0" w:color="auto"/>
              <w:right w:val="single" w:sz="4" w:space="0" w:color="auto"/>
            </w:tcBorders>
            <w:hideMark/>
          </w:tcPr>
          <w:p w14:paraId="71AF0F70" w14:textId="77777777" w:rsidR="00821279" w:rsidRDefault="00821279">
            <w:pPr>
              <w:jc w:val="both"/>
            </w:pPr>
            <w:r>
              <w:t xml:space="preserve">Prihodi od prodaje </w:t>
            </w:r>
            <w:proofErr w:type="spellStart"/>
            <w:r>
              <w:t>neproizvedene</w:t>
            </w:r>
            <w:proofErr w:type="spellEnd"/>
            <w:r>
              <w:t xml:space="preserve"> dugotrajne imovine</w:t>
            </w:r>
          </w:p>
        </w:tc>
        <w:tc>
          <w:tcPr>
            <w:tcW w:w="2552" w:type="dxa"/>
            <w:tcBorders>
              <w:top w:val="single" w:sz="4" w:space="0" w:color="auto"/>
              <w:left w:val="single" w:sz="4" w:space="0" w:color="auto"/>
              <w:bottom w:val="single" w:sz="4" w:space="0" w:color="auto"/>
              <w:right w:val="single" w:sz="4" w:space="0" w:color="auto"/>
            </w:tcBorders>
            <w:hideMark/>
          </w:tcPr>
          <w:p w14:paraId="63F02F3A" w14:textId="3D8084CB" w:rsidR="00821279" w:rsidRDefault="00821279">
            <w:pPr>
              <w:jc w:val="both"/>
            </w:pPr>
            <w:r>
              <w:t xml:space="preserve">    </w:t>
            </w:r>
            <w:r w:rsidR="00FE7D35">
              <w:t xml:space="preserve">         </w:t>
            </w:r>
            <w:r w:rsidR="00E31F33">
              <w:t xml:space="preserve"> </w:t>
            </w:r>
            <w:r w:rsidR="00FE7D35">
              <w:t xml:space="preserve">  </w:t>
            </w:r>
            <w:r>
              <w:t xml:space="preserve">0,00   </w:t>
            </w:r>
          </w:p>
        </w:tc>
        <w:tc>
          <w:tcPr>
            <w:tcW w:w="1013" w:type="dxa"/>
            <w:tcBorders>
              <w:top w:val="single" w:sz="4" w:space="0" w:color="auto"/>
              <w:left w:val="single" w:sz="4" w:space="0" w:color="auto"/>
              <w:bottom w:val="single" w:sz="4" w:space="0" w:color="auto"/>
              <w:right w:val="single" w:sz="4" w:space="0" w:color="auto"/>
            </w:tcBorders>
            <w:hideMark/>
          </w:tcPr>
          <w:p w14:paraId="1050A182" w14:textId="52AA553D" w:rsidR="00821279" w:rsidRDefault="00821279">
            <w:pPr>
              <w:jc w:val="both"/>
            </w:pPr>
            <w:r>
              <w:t xml:space="preserve"> </w:t>
            </w:r>
            <w:r w:rsidR="00772FC5">
              <w:t xml:space="preserve">  </w:t>
            </w:r>
            <w:r>
              <w:t xml:space="preserve"> </w:t>
            </w:r>
            <w:r w:rsidR="00772FC5">
              <w:t>0,00</w:t>
            </w:r>
          </w:p>
        </w:tc>
      </w:tr>
      <w:tr w:rsidR="00C94617" w14:paraId="3EA7B464" w14:textId="77777777" w:rsidTr="00821279">
        <w:tc>
          <w:tcPr>
            <w:tcW w:w="6345" w:type="dxa"/>
            <w:tcBorders>
              <w:top w:val="single" w:sz="4" w:space="0" w:color="auto"/>
              <w:left w:val="single" w:sz="4" w:space="0" w:color="auto"/>
              <w:bottom w:val="single" w:sz="4" w:space="0" w:color="auto"/>
              <w:right w:val="single" w:sz="4" w:space="0" w:color="auto"/>
            </w:tcBorders>
            <w:hideMark/>
          </w:tcPr>
          <w:p w14:paraId="34C06891" w14:textId="77777777" w:rsidR="00821279" w:rsidRDefault="00821279">
            <w:pPr>
              <w:jc w:val="both"/>
            </w:pPr>
            <w:r>
              <w:t>Prihodi od prodaje proizvedene dugotrajne imovine</w:t>
            </w:r>
          </w:p>
        </w:tc>
        <w:tc>
          <w:tcPr>
            <w:tcW w:w="2552" w:type="dxa"/>
            <w:tcBorders>
              <w:top w:val="single" w:sz="4" w:space="0" w:color="auto"/>
              <w:left w:val="single" w:sz="4" w:space="0" w:color="auto"/>
              <w:bottom w:val="single" w:sz="4" w:space="0" w:color="auto"/>
              <w:right w:val="single" w:sz="4" w:space="0" w:color="auto"/>
            </w:tcBorders>
            <w:hideMark/>
          </w:tcPr>
          <w:p w14:paraId="547862E2" w14:textId="6D747A7F" w:rsidR="00821279" w:rsidRDefault="00821279">
            <w:pPr>
              <w:jc w:val="both"/>
            </w:pPr>
            <w:r>
              <w:t xml:space="preserve">      2</w:t>
            </w:r>
            <w:r w:rsidR="00FE7D35">
              <w:t>36.417,46</w:t>
            </w:r>
          </w:p>
        </w:tc>
        <w:tc>
          <w:tcPr>
            <w:tcW w:w="1013" w:type="dxa"/>
            <w:tcBorders>
              <w:top w:val="single" w:sz="4" w:space="0" w:color="auto"/>
              <w:left w:val="single" w:sz="4" w:space="0" w:color="auto"/>
              <w:bottom w:val="single" w:sz="4" w:space="0" w:color="auto"/>
              <w:right w:val="single" w:sz="4" w:space="0" w:color="auto"/>
            </w:tcBorders>
            <w:hideMark/>
          </w:tcPr>
          <w:p w14:paraId="29766905" w14:textId="748283E7" w:rsidR="00821279" w:rsidRDefault="00821279">
            <w:pPr>
              <w:jc w:val="both"/>
            </w:pPr>
            <w:r>
              <w:t xml:space="preserve">    </w:t>
            </w:r>
            <w:r w:rsidR="00781CA8">
              <w:t>4,09</w:t>
            </w:r>
          </w:p>
        </w:tc>
      </w:tr>
      <w:tr w:rsidR="00C94617" w14:paraId="21E94C4E" w14:textId="77777777" w:rsidTr="00821279">
        <w:tc>
          <w:tcPr>
            <w:tcW w:w="6345" w:type="dxa"/>
            <w:tcBorders>
              <w:top w:val="single" w:sz="4" w:space="0" w:color="auto"/>
              <w:left w:val="single" w:sz="4" w:space="0" w:color="auto"/>
              <w:bottom w:val="single" w:sz="4" w:space="0" w:color="auto"/>
              <w:right w:val="single" w:sz="4" w:space="0" w:color="auto"/>
            </w:tcBorders>
            <w:hideMark/>
          </w:tcPr>
          <w:p w14:paraId="42C0366C" w14:textId="77777777" w:rsidR="00821279" w:rsidRDefault="00821279">
            <w:pPr>
              <w:jc w:val="both"/>
            </w:pPr>
            <w:r>
              <w:t>UKUPNO</w:t>
            </w:r>
          </w:p>
        </w:tc>
        <w:tc>
          <w:tcPr>
            <w:tcW w:w="2552" w:type="dxa"/>
            <w:tcBorders>
              <w:top w:val="single" w:sz="4" w:space="0" w:color="auto"/>
              <w:left w:val="single" w:sz="4" w:space="0" w:color="auto"/>
              <w:bottom w:val="single" w:sz="4" w:space="0" w:color="auto"/>
              <w:right w:val="single" w:sz="4" w:space="0" w:color="auto"/>
            </w:tcBorders>
            <w:hideMark/>
          </w:tcPr>
          <w:p w14:paraId="62F49BC2" w14:textId="5AE41C79" w:rsidR="00821279" w:rsidRDefault="00821279">
            <w:pPr>
              <w:jc w:val="both"/>
            </w:pPr>
            <w:r>
              <w:t xml:space="preserve">  </w:t>
            </w:r>
            <w:r w:rsidR="00A75EB7">
              <w:t>5.780.168,16</w:t>
            </w:r>
          </w:p>
        </w:tc>
        <w:tc>
          <w:tcPr>
            <w:tcW w:w="1013" w:type="dxa"/>
            <w:tcBorders>
              <w:top w:val="single" w:sz="4" w:space="0" w:color="auto"/>
              <w:left w:val="single" w:sz="4" w:space="0" w:color="auto"/>
              <w:bottom w:val="single" w:sz="4" w:space="0" w:color="auto"/>
              <w:right w:val="single" w:sz="4" w:space="0" w:color="auto"/>
            </w:tcBorders>
            <w:hideMark/>
          </w:tcPr>
          <w:p w14:paraId="5D08491A" w14:textId="77777777" w:rsidR="00821279" w:rsidRDefault="00821279">
            <w:pPr>
              <w:jc w:val="both"/>
            </w:pPr>
            <w:r>
              <w:t>100,00</w:t>
            </w:r>
          </w:p>
        </w:tc>
      </w:tr>
    </w:tbl>
    <w:p w14:paraId="0E21085B" w14:textId="77777777" w:rsidR="00821279" w:rsidRDefault="00821279" w:rsidP="00821279">
      <w:pPr>
        <w:jc w:val="both"/>
      </w:pPr>
    </w:p>
    <w:p w14:paraId="244A517E" w14:textId="77777777" w:rsidR="00821279" w:rsidRDefault="00821279" w:rsidP="00821279">
      <w:pPr>
        <w:jc w:val="both"/>
      </w:pPr>
    </w:p>
    <w:p w14:paraId="52251EB9" w14:textId="77777777" w:rsidR="00821279" w:rsidRDefault="00821279" w:rsidP="00821279">
      <w:pPr>
        <w:jc w:val="both"/>
      </w:pPr>
      <w:r>
        <w:t xml:space="preserve">Najveće učešće u prihodima od poreza imaju prihodi od poreza i prireza na dohodak. </w:t>
      </w:r>
    </w:p>
    <w:p w14:paraId="45D1BF93" w14:textId="7CB4079B" w:rsidR="00821279" w:rsidRDefault="00821279" w:rsidP="00821279">
      <w:pPr>
        <w:jc w:val="both"/>
      </w:pPr>
      <w:r>
        <w:t>Prihodi od pomoći ostvaruju se iz državnog proračuna, Var</w:t>
      </w:r>
      <w:r w:rsidR="00CB0669">
        <w:t>kom-a i</w:t>
      </w:r>
      <w:r>
        <w:t xml:space="preserve"> Hrvatskog zavoda za zapošljav</w:t>
      </w:r>
      <w:r w:rsidR="00C00C0A">
        <w:t>a</w:t>
      </w:r>
      <w:r>
        <w:t>nje.</w:t>
      </w:r>
    </w:p>
    <w:p w14:paraId="53357509" w14:textId="77777777" w:rsidR="00821279" w:rsidRDefault="00821279" w:rsidP="00821279">
      <w:pPr>
        <w:jc w:val="both"/>
      </w:pPr>
      <w:r>
        <w:t xml:space="preserve">Vlastiti prihodi dječjeg vrtića, prihodi od komunalne naknade i komunalnog doprinosa  najveći su dio prihoda po posebnim propisima. </w:t>
      </w:r>
    </w:p>
    <w:p w14:paraId="249DCB65" w14:textId="72175A53" w:rsidR="00821279" w:rsidRDefault="00821279" w:rsidP="00821279">
      <w:pPr>
        <w:jc w:val="both"/>
      </w:pPr>
      <w:r>
        <w:t xml:space="preserve">Prihodi od prodaje proizvedene dugotrajne imovine </w:t>
      </w:r>
      <w:r w:rsidR="00C00C0A">
        <w:t>odnosi se na</w:t>
      </w:r>
      <w:r w:rsidR="006D1852">
        <w:t xml:space="preserve"> prodaju kuća dobivenih </w:t>
      </w:r>
      <w:proofErr w:type="spellStart"/>
      <w:r w:rsidR="006D1852">
        <w:t>ošasnom</w:t>
      </w:r>
      <w:proofErr w:type="spellEnd"/>
      <w:r w:rsidR="006D1852">
        <w:t xml:space="preserve"> imovinom.</w:t>
      </w:r>
    </w:p>
    <w:p w14:paraId="5490A2CE" w14:textId="77777777" w:rsidR="00821279" w:rsidRDefault="00821279" w:rsidP="00821279">
      <w:pPr>
        <w:jc w:val="both"/>
      </w:pPr>
    </w:p>
    <w:p w14:paraId="4BC28CC1" w14:textId="77777777" w:rsidR="00821279" w:rsidRDefault="00821279" w:rsidP="00821279">
      <w:pPr>
        <w:jc w:val="both"/>
      </w:pPr>
      <w:r>
        <w:t>Struktura rashoda</w:t>
      </w:r>
    </w:p>
    <w:p w14:paraId="019EB2BE" w14:textId="77777777" w:rsidR="00821279" w:rsidRDefault="00821279" w:rsidP="0082127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4"/>
        <w:gridCol w:w="2155"/>
        <w:gridCol w:w="993"/>
      </w:tblGrid>
      <w:tr w:rsidR="009D3359" w14:paraId="2CF3F1C5" w14:textId="77777777" w:rsidTr="00821279">
        <w:tc>
          <w:tcPr>
            <w:tcW w:w="6629" w:type="dxa"/>
            <w:tcBorders>
              <w:top w:val="single" w:sz="4" w:space="0" w:color="auto"/>
              <w:left w:val="single" w:sz="4" w:space="0" w:color="auto"/>
              <w:bottom w:val="single" w:sz="4" w:space="0" w:color="auto"/>
              <w:right w:val="single" w:sz="4" w:space="0" w:color="auto"/>
            </w:tcBorders>
            <w:hideMark/>
          </w:tcPr>
          <w:p w14:paraId="403BC258" w14:textId="77777777" w:rsidR="00821279" w:rsidRDefault="00821279">
            <w:pPr>
              <w:jc w:val="both"/>
              <w:rPr>
                <w:b/>
              </w:rPr>
            </w:pPr>
            <w:r>
              <w:rPr>
                <w:b/>
              </w:rPr>
              <w:t>Vrsta rashoda</w:t>
            </w:r>
          </w:p>
        </w:tc>
        <w:tc>
          <w:tcPr>
            <w:tcW w:w="2268" w:type="dxa"/>
            <w:tcBorders>
              <w:top w:val="single" w:sz="4" w:space="0" w:color="auto"/>
              <w:left w:val="single" w:sz="4" w:space="0" w:color="auto"/>
              <w:bottom w:val="single" w:sz="4" w:space="0" w:color="auto"/>
              <w:right w:val="single" w:sz="4" w:space="0" w:color="auto"/>
            </w:tcBorders>
            <w:hideMark/>
          </w:tcPr>
          <w:p w14:paraId="4F9B80F6" w14:textId="77777777" w:rsidR="00821279" w:rsidRDefault="00821279">
            <w:pPr>
              <w:jc w:val="both"/>
              <w:rPr>
                <w:b/>
              </w:rPr>
            </w:pPr>
            <w:r>
              <w:rPr>
                <w:b/>
              </w:rPr>
              <w:t xml:space="preserve">        Iznos</w:t>
            </w:r>
          </w:p>
        </w:tc>
        <w:tc>
          <w:tcPr>
            <w:tcW w:w="1013" w:type="dxa"/>
            <w:tcBorders>
              <w:top w:val="single" w:sz="4" w:space="0" w:color="auto"/>
              <w:left w:val="single" w:sz="4" w:space="0" w:color="auto"/>
              <w:bottom w:val="single" w:sz="4" w:space="0" w:color="auto"/>
              <w:right w:val="single" w:sz="4" w:space="0" w:color="auto"/>
            </w:tcBorders>
            <w:hideMark/>
          </w:tcPr>
          <w:p w14:paraId="1BAF3E41" w14:textId="77777777" w:rsidR="00821279" w:rsidRDefault="00821279">
            <w:pPr>
              <w:jc w:val="both"/>
            </w:pPr>
            <w:r>
              <w:t xml:space="preserve">    %</w:t>
            </w:r>
          </w:p>
        </w:tc>
      </w:tr>
      <w:tr w:rsidR="009D3359" w14:paraId="3BAF8E5A" w14:textId="77777777" w:rsidTr="00821279">
        <w:tc>
          <w:tcPr>
            <w:tcW w:w="6629" w:type="dxa"/>
            <w:tcBorders>
              <w:top w:val="single" w:sz="4" w:space="0" w:color="auto"/>
              <w:left w:val="single" w:sz="4" w:space="0" w:color="auto"/>
              <w:bottom w:val="single" w:sz="4" w:space="0" w:color="auto"/>
              <w:right w:val="single" w:sz="4" w:space="0" w:color="auto"/>
            </w:tcBorders>
            <w:hideMark/>
          </w:tcPr>
          <w:p w14:paraId="258EE836" w14:textId="77777777" w:rsidR="00821279" w:rsidRDefault="00821279">
            <w:pPr>
              <w:jc w:val="both"/>
            </w:pPr>
            <w:r>
              <w:t>Rashodi za zaposlene</w:t>
            </w:r>
          </w:p>
        </w:tc>
        <w:tc>
          <w:tcPr>
            <w:tcW w:w="2268" w:type="dxa"/>
            <w:tcBorders>
              <w:top w:val="single" w:sz="4" w:space="0" w:color="auto"/>
              <w:left w:val="single" w:sz="4" w:space="0" w:color="auto"/>
              <w:bottom w:val="single" w:sz="4" w:space="0" w:color="auto"/>
              <w:right w:val="single" w:sz="4" w:space="0" w:color="auto"/>
            </w:tcBorders>
            <w:hideMark/>
          </w:tcPr>
          <w:p w14:paraId="766F2AB1" w14:textId="32D869F1" w:rsidR="00821279" w:rsidRDefault="00821279">
            <w:pPr>
              <w:jc w:val="both"/>
            </w:pPr>
            <w:r>
              <w:t xml:space="preserve"> </w:t>
            </w:r>
            <w:r w:rsidR="00F5215D">
              <w:t xml:space="preserve"> </w:t>
            </w:r>
            <w:r>
              <w:t xml:space="preserve"> </w:t>
            </w:r>
            <w:r w:rsidR="00DD3DB4">
              <w:t>1.096.218,76</w:t>
            </w:r>
          </w:p>
        </w:tc>
        <w:tc>
          <w:tcPr>
            <w:tcW w:w="1013" w:type="dxa"/>
            <w:tcBorders>
              <w:top w:val="single" w:sz="4" w:space="0" w:color="auto"/>
              <w:left w:val="single" w:sz="4" w:space="0" w:color="auto"/>
              <w:bottom w:val="single" w:sz="4" w:space="0" w:color="auto"/>
              <w:right w:val="single" w:sz="4" w:space="0" w:color="auto"/>
            </w:tcBorders>
            <w:hideMark/>
          </w:tcPr>
          <w:p w14:paraId="21C5C8A8" w14:textId="297FA3A8" w:rsidR="00821279" w:rsidRDefault="00821279">
            <w:pPr>
              <w:jc w:val="both"/>
            </w:pPr>
            <w:r>
              <w:t xml:space="preserve">  </w:t>
            </w:r>
            <w:r w:rsidR="009F21F2">
              <w:t>25,11</w:t>
            </w:r>
            <w:r>
              <w:t xml:space="preserve"> </w:t>
            </w:r>
          </w:p>
        </w:tc>
      </w:tr>
      <w:tr w:rsidR="009D3359" w14:paraId="00D0AD9E" w14:textId="77777777" w:rsidTr="00821279">
        <w:tc>
          <w:tcPr>
            <w:tcW w:w="6629" w:type="dxa"/>
            <w:tcBorders>
              <w:top w:val="single" w:sz="4" w:space="0" w:color="auto"/>
              <w:left w:val="single" w:sz="4" w:space="0" w:color="auto"/>
              <w:bottom w:val="single" w:sz="4" w:space="0" w:color="auto"/>
              <w:right w:val="single" w:sz="4" w:space="0" w:color="auto"/>
            </w:tcBorders>
            <w:hideMark/>
          </w:tcPr>
          <w:p w14:paraId="58F4EACF" w14:textId="77777777" w:rsidR="00821279" w:rsidRDefault="00821279">
            <w:pPr>
              <w:jc w:val="both"/>
            </w:pPr>
            <w:r>
              <w:t>Materijalni rashodi</w:t>
            </w:r>
          </w:p>
        </w:tc>
        <w:tc>
          <w:tcPr>
            <w:tcW w:w="2268" w:type="dxa"/>
            <w:tcBorders>
              <w:top w:val="single" w:sz="4" w:space="0" w:color="auto"/>
              <w:left w:val="single" w:sz="4" w:space="0" w:color="auto"/>
              <w:bottom w:val="single" w:sz="4" w:space="0" w:color="auto"/>
              <w:right w:val="single" w:sz="4" w:space="0" w:color="auto"/>
            </w:tcBorders>
            <w:hideMark/>
          </w:tcPr>
          <w:p w14:paraId="46E0F86A" w14:textId="681F2F40" w:rsidR="00821279" w:rsidRDefault="00821279">
            <w:pPr>
              <w:jc w:val="both"/>
            </w:pPr>
            <w:r>
              <w:t xml:space="preserve">   </w:t>
            </w:r>
            <w:r w:rsidR="00DD3DB4">
              <w:t>1.112.143,45</w:t>
            </w:r>
          </w:p>
        </w:tc>
        <w:tc>
          <w:tcPr>
            <w:tcW w:w="1013" w:type="dxa"/>
            <w:tcBorders>
              <w:top w:val="single" w:sz="4" w:space="0" w:color="auto"/>
              <w:left w:val="single" w:sz="4" w:space="0" w:color="auto"/>
              <w:bottom w:val="single" w:sz="4" w:space="0" w:color="auto"/>
              <w:right w:val="single" w:sz="4" w:space="0" w:color="auto"/>
            </w:tcBorders>
            <w:hideMark/>
          </w:tcPr>
          <w:p w14:paraId="3FA6E5F5" w14:textId="1CB6897C" w:rsidR="00821279" w:rsidRDefault="00821279">
            <w:pPr>
              <w:jc w:val="both"/>
            </w:pPr>
            <w:r>
              <w:t xml:space="preserve">  </w:t>
            </w:r>
            <w:r w:rsidR="00A9299A">
              <w:t>25,47</w:t>
            </w:r>
          </w:p>
        </w:tc>
      </w:tr>
      <w:tr w:rsidR="009D3359" w14:paraId="33D51EA0" w14:textId="77777777" w:rsidTr="00821279">
        <w:tc>
          <w:tcPr>
            <w:tcW w:w="6629" w:type="dxa"/>
            <w:tcBorders>
              <w:top w:val="single" w:sz="4" w:space="0" w:color="auto"/>
              <w:left w:val="single" w:sz="4" w:space="0" w:color="auto"/>
              <w:bottom w:val="single" w:sz="4" w:space="0" w:color="auto"/>
              <w:right w:val="single" w:sz="4" w:space="0" w:color="auto"/>
            </w:tcBorders>
            <w:hideMark/>
          </w:tcPr>
          <w:p w14:paraId="60A1300F" w14:textId="77777777" w:rsidR="00821279" w:rsidRDefault="00821279">
            <w:pPr>
              <w:jc w:val="both"/>
            </w:pPr>
            <w:r>
              <w:t>Financijski rashodi</w:t>
            </w:r>
          </w:p>
        </w:tc>
        <w:tc>
          <w:tcPr>
            <w:tcW w:w="2268" w:type="dxa"/>
            <w:tcBorders>
              <w:top w:val="single" w:sz="4" w:space="0" w:color="auto"/>
              <w:left w:val="single" w:sz="4" w:space="0" w:color="auto"/>
              <w:bottom w:val="single" w:sz="4" w:space="0" w:color="auto"/>
              <w:right w:val="single" w:sz="4" w:space="0" w:color="auto"/>
            </w:tcBorders>
            <w:hideMark/>
          </w:tcPr>
          <w:p w14:paraId="22BD88FE" w14:textId="7B35DEB3" w:rsidR="00821279" w:rsidRDefault="00821279">
            <w:pPr>
              <w:jc w:val="both"/>
            </w:pPr>
            <w:r>
              <w:t xml:space="preserve">      1</w:t>
            </w:r>
            <w:r w:rsidR="004C6F40">
              <w:t>86.580,11</w:t>
            </w:r>
          </w:p>
        </w:tc>
        <w:tc>
          <w:tcPr>
            <w:tcW w:w="1013" w:type="dxa"/>
            <w:tcBorders>
              <w:top w:val="single" w:sz="4" w:space="0" w:color="auto"/>
              <w:left w:val="single" w:sz="4" w:space="0" w:color="auto"/>
              <w:bottom w:val="single" w:sz="4" w:space="0" w:color="auto"/>
              <w:right w:val="single" w:sz="4" w:space="0" w:color="auto"/>
            </w:tcBorders>
            <w:hideMark/>
          </w:tcPr>
          <w:p w14:paraId="5C3D3989" w14:textId="4D12E98F" w:rsidR="00821279" w:rsidRDefault="00821279">
            <w:pPr>
              <w:jc w:val="both"/>
            </w:pPr>
            <w:r>
              <w:t xml:space="preserve">    </w:t>
            </w:r>
            <w:r w:rsidR="00A9299A">
              <w:t>4,27</w:t>
            </w:r>
          </w:p>
        </w:tc>
      </w:tr>
      <w:tr w:rsidR="009D3359" w14:paraId="341E8C8A" w14:textId="77777777" w:rsidTr="00821279">
        <w:tc>
          <w:tcPr>
            <w:tcW w:w="6629" w:type="dxa"/>
            <w:tcBorders>
              <w:top w:val="single" w:sz="4" w:space="0" w:color="auto"/>
              <w:left w:val="single" w:sz="4" w:space="0" w:color="auto"/>
              <w:bottom w:val="single" w:sz="4" w:space="0" w:color="auto"/>
              <w:right w:val="single" w:sz="4" w:space="0" w:color="auto"/>
            </w:tcBorders>
            <w:hideMark/>
          </w:tcPr>
          <w:p w14:paraId="1204C282" w14:textId="77777777" w:rsidR="00821279" w:rsidRDefault="00821279">
            <w:pPr>
              <w:jc w:val="both"/>
            </w:pPr>
            <w:r>
              <w:t>Subvencije</w:t>
            </w:r>
          </w:p>
        </w:tc>
        <w:tc>
          <w:tcPr>
            <w:tcW w:w="2268" w:type="dxa"/>
            <w:tcBorders>
              <w:top w:val="single" w:sz="4" w:space="0" w:color="auto"/>
              <w:left w:val="single" w:sz="4" w:space="0" w:color="auto"/>
              <w:bottom w:val="single" w:sz="4" w:space="0" w:color="auto"/>
              <w:right w:val="single" w:sz="4" w:space="0" w:color="auto"/>
            </w:tcBorders>
            <w:hideMark/>
          </w:tcPr>
          <w:p w14:paraId="5BA6BBA8" w14:textId="521E6761" w:rsidR="00821279" w:rsidRDefault="00821279">
            <w:pPr>
              <w:jc w:val="both"/>
            </w:pPr>
            <w:r>
              <w:t xml:space="preserve">      </w:t>
            </w:r>
            <w:r w:rsidR="000269EE">
              <w:t xml:space="preserve">       </w:t>
            </w:r>
            <w:r w:rsidR="004C6F40">
              <w:t>504,11</w:t>
            </w:r>
          </w:p>
        </w:tc>
        <w:tc>
          <w:tcPr>
            <w:tcW w:w="1013" w:type="dxa"/>
            <w:tcBorders>
              <w:top w:val="single" w:sz="4" w:space="0" w:color="auto"/>
              <w:left w:val="single" w:sz="4" w:space="0" w:color="auto"/>
              <w:bottom w:val="single" w:sz="4" w:space="0" w:color="auto"/>
              <w:right w:val="single" w:sz="4" w:space="0" w:color="auto"/>
            </w:tcBorders>
            <w:hideMark/>
          </w:tcPr>
          <w:p w14:paraId="267A1258" w14:textId="77886063" w:rsidR="00821279" w:rsidRDefault="00821279">
            <w:pPr>
              <w:jc w:val="both"/>
            </w:pPr>
            <w:r>
              <w:t xml:space="preserve">    0,</w:t>
            </w:r>
            <w:r w:rsidR="00255657">
              <w:t>01</w:t>
            </w:r>
            <w:r>
              <w:t xml:space="preserve"> </w:t>
            </w:r>
          </w:p>
        </w:tc>
      </w:tr>
      <w:tr w:rsidR="009D3359" w14:paraId="4131A8E7" w14:textId="77777777" w:rsidTr="00821279">
        <w:tc>
          <w:tcPr>
            <w:tcW w:w="6629" w:type="dxa"/>
            <w:tcBorders>
              <w:top w:val="single" w:sz="4" w:space="0" w:color="auto"/>
              <w:left w:val="single" w:sz="4" w:space="0" w:color="auto"/>
              <w:bottom w:val="single" w:sz="4" w:space="0" w:color="auto"/>
              <w:right w:val="single" w:sz="4" w:space="0" w:color="auto"/>
            </w:tcBorders>
            <w:hideMark/>
          </w:tcPr>
          <w:p w14:paraId="13026A6B" w14:textId="77777777" w:rsidR="00821279" w:rsidRDefault="00821279">
            <w:pPr>
              <w:jc w:val="both"/>
            </w:pPr>
            <w:r>
              <w:t>Pomoći dane u inozemstvo i unutar općeg proračuna</w:t>
            </w:r>
          </w:p>
        </w:tc>
        <w:tc>
          <w:tcPr>
            <w:tcW w:w="2268" w:type="dxa"/>
            <w:tcBorders>
              <w:top w:val="single" w:sz="4" w:space="0" w:color="auto"/>
              <w:left w:val="single" w:sz="4" w:space="0" w:color="auto"/>
              <w:bottom w:val="single" w:sz="4" w:space="0" w:color="auto"/>
              <w:right w:val="single" w:sz="4" w:space="0" w:color="auto"/>
            </w:tcBorders>
            <w:hideMark/>
          </w:tcPr>
          <w:p w14:paraId="5EB94E01" w14:textId="0916ABC9" w:rsidR="00821279" w:rsidRDefault="00821279">
            <w:pPr>
              <w:jc w:val="both"/>
            </w:pPr>
            <w:r>
              <w:t xml:space="preserve">      </w:t>
            </w:r>
            <w:r w:rsidR="000269EE">
              <w:t>725.058,47</w:t>
            </w:r>
          </w:p>
        </w:tc>
        <w:tc>
          <w:tcPr>
            <w:tcW w:w="1013" w:type="dxa"/>
            <w:tcBorders>
              <w:top w:val="single" w:sz="4" w:space="0" w:color="auto"/>
              <w:left w:val="single" w:sz="4" w:space="0" w:color="auto"/>
              <w:bottom w:val="single" w:sz="4" w:space="0" w:color="auto"/>
              <w:right w:val="single" w:sz="4" w:space="0" w:color="auto"/>
            </w:tcBorders>
            <w:hideMark/>
          </w:tcPr>
          <w:p w14:paraId="05F272FB" w14:textId="37A3A574" w:rsidR="00821279" w:rsidRDefault="00821279">
            <w:pPr>
              <w:jc w:val="both"/>
            </w:pPr>
            <w:r>
              <w:t xml:space="preserve">    </w:t>
            </w:r>
            <w:r w:rsidR="00255657">
              <w:t xml:space="preserve">  16,61</w:t>
            </w:r>
          </w:p>
        </w:tc>
      </w:tr>
      <w:tr w:rsidR="009D3359" w14:paraId="3AC04F38" w14:textId="77777777" w:rsidTr="00821279">
        <w:tc>
          <w:tcPr>
            <w:tcW w:w="6629" w:type="dxa"/>
            <w:tcBorders>
              <w:top w:val="single" w:sz="4" w:space="0" w:color="auto"/>
              <w:left w:val="single" w:sz="4" w:space="0" w:color="auto"/>
              <w:bottom w:val="single" w:sz="4" w:space="0" w:color="auto"/>
              <w:right w:val="single" w:sz="4" w:space="0" w:color="auto"/>
            </w:tcBorders>
            <w:hideMark/>
          </w:tcPr>
          <w:p w14:paraId="292975B8" w14:textId="77777777" w:rsidR="00821279" w:rsidRDefault="00821279">
            <w:pPr>
              <w:jc w:val="both"/>
            </w:pPr>
            <w:r>
              <w:t>Naknade građanima i kućanstvima</w:t>
            </w:r>
          </w:p>
        </w:tc>
        <w:tc>
          <w:tcPr>
            <w:tcW w:w="2268" w:type="dxa"/>
            <w:tcBorders>
              <w:top w:val="single" w:sz="4" w:space="0" w:color="auto"/>
              <w:left w:val="single" w:sz="4" w:space="0" w:color="auto"/>
              <w:bottom w:val="single" w:sz="4" w:space="0" w:color="auto"/>
              <w:right w:val="single" w:sz="4" w:space="0" w:color="auto"/>
            </w:tcBorders>
            <w:hideMark/>
          </w:tcPr>
          <w:p w14:paraId="3695D87B" w14:textId="09235695" w:rsidR="00821279" w:rsidRDefault="00821279">
            <w:pPr>
              <w:jc w:val="both"/>
            </w:pPr>
            <w:r>
              <w:t xml:space="preserve">      </w:t>
            </w:r>
            <w:r w:rsidR="00E275DA">
              <w:t>490.722,41</w:t>
            </w:r>
          </w:p>
        </w:tc>
        <w:tc>
          <w:tcPr>
            <w:tcW w:w="1013" w:type="dxa"/>
            <w:tcBorders>
              <w:top w:val="single" w:sz="4" w:space="0" w:color="auto"/>
              <w:left w:val="single" w:sz="4" w:space="0" w:color="auto"/>
              <w:bottom w:val="single" w:sz="4" w:space="0" w:color="auto"/>
              <w:right w:val="single" w:sz="4" w:space="0" w:color="auto"/>
            </w:tcBorders>
            <w:hideMark/>
          </w:tcPr>
          <w:p w14:paraId="2D9EA8D9" w14:textId="04190C7C" w:rsidR="00821279" w:rsidRDefault="00821279">
            <w:pPr>
              <w:jc w:val="both"/>
            </w:pPr>
            <w:r>
              <w:t xml:space="preserve">  </w:t>
            </w:r>
            <w:r w:rsidR="003A639C">
              <w:t>11,24</w:t>
            </w:r>
          </w:p>
        </w:tc>
      </w:tr>
      <w:tr w:rsidR="009D3359" w14:paraId="319002A0" w14:textId="77777777" w:rsidTr="00821279">
        <w:tc>
          <w:tcPr>
            <w:tcW w:w="6629" w:type="dxa"/>
            <w:tcBorders>
              <w:top w:val="single" w:sz="4" w:space="0" w:color="auto"/>
              <w:left w:val="single" w:sz="4" w:space="0" w:color="auto"/>
              <w:bottom w:val="single" w:sz="4" w:space="0" w:color="auto"/>
              <w:right w:val="single" w:sz="4" w:space="0" w:color="auto"/>
            </w:tcBorders>
            <w:hideMark/>
          </w:tcPr>
          <w:p w14:paraId="7EABEEA2" w14:textId="77777777" w:rsidR="00821279" w:rsidRDefault="00821279">
            <w:pPr>
              <w:jc w:val="both"/>
            </w:pPr>
            <w:r>
              <w:t>Ostali rashodi</w:t>
            </w:r>
          </w:p>
        </w:tc>
        <w:tc>
          <w:tcPr>
            <w:tcW w:w="2268" w:type="dxa"/>
            <w:tcBorders>
              <w:top w:val="single" w:sz="4" w:space="0" w:color="auto"/>
              <w:left w:val="single" w:sz="4" w:space="0" w:color="auto"/>
              <w:bottom w:val="single" w:sz="4" w:space="0" w:color="auto"/>
              <w:right w:val="single" w:sz="4" w:space="0" w:color="auto"/>
            </w:tcBorders>
            <w:hideMark/>
          </w:tcPr>
          <w:p w14:paraId="24EEAE25" w14:textId="7241A29D" w:rsidR="00821279" w:rsidRDefault="00821279">
            <w:pPr>
              <w:jc w:val="both"/>
            </w:pPr>
            <w:r>
              <w:t xml:space="preserve">  </w:t>
            </w:r>
            <w:r w:rsidR="00E275DA">
              <w:t xml:space="preserve">   </w:t>
            </w:r>
            <w:r>
              <w:t xml:space="preserve"> </w:t>
            </w:r>
            <w:r w:rsidR="00E275DA">
              <w:t>448.758,32</w:t>
            </w:r>
          </w:p>
        </w:tc>
        <w:tc>
          <w:tcPr>
            <w:tcW w:w="1013" w:type="dxa"/>
            <w:tcBorders>
              <w:top w:val="single" w:sz="4" w:space="0" w:color="auto"/>
              <w:left w:val="single" w:sz="4" w:space="0" w:color="auto"/>
              <w:bottom w:val="single" w:sz="4" w:space="0" w:color="auto"/>
              <w:right w:val="single" w:sz="4" w:space="0" w:color="auto"/>
            </w:tcBorders>
            <w:hideMark/>
          </w:tcPr>
          <w:p w14:paraId="739B8D7E" w14:textId="7DF261E3" w:rsidR="00821279" w:rsidRDefault="00821279">
            <w:pPr>
              <w:jc w:val="both"/>
            </w:pPr>
            <w:r>
              <w:t xml:space="preserve">  </w:t>
            </w:r>
            <w:r w:rsidR="009D3359">
              <w:t>10,28</w:t>
            </w:r>
          </w:p>
        </w:tc>
      </w:tr>
      <w:tr w:rsidR="009D3359" w14:paraId="7A81E005" w14:textId="77777777" w:rsidTr="00821279">
        <w:tc>
          <w:tcPr>
            <w:tcW w:w="6629" w:type="dxa"/>
            <w:tcBorders>
              <w:top w:val="single" w:sz="4" w:space="0" w:color="auto"/>
              <w:left w:val="single" w:sz="4" w:space="0" w:color="auto"/>
              <w:bottom w:val="single" w:sz="4" w:space="0" w:color="auto"/>
              <w:right w:val="single" w:sz="4" w:space="0" w:color="auto"/>
            </w:tcBorders>
            <w:hideMark/>
          </w:tcPr>
          <w:p w14:paraId="7CC184AB" w14:textId="77777777" w:rsidR="00821279" w:rsidRDefault="00821279">
            <w:pPr>
              <w:jc w:val="both"/>
            </w:pPr>
            <w:r>
              <w:t xml:space="preserve">Rashodi za nabavu </w:t>
            </w:r>
            <w:proofErr w:type="spellStart"/>
            <w:r>
              <w:t>neproizvedene</w:t>
            </w:r>
            <w:proofErr w:type="spellEnd"/>
            <w:r>
              <w:t xml:space="preserve"> dugotrajne imovine</w:t>
            </w:r>
          </w:p>
        </w:tc>
        <w:tc>
          <w:tcPr>
            <w:tcW w:w="2268" w:type="dxa"/>
            <w:tcBorders>
              <w:top w:val="single" w:sz="4" w:space="0" w:color="auto"/>
              <w:left w:val="single" w:sz="4" w:space="0" w:color="auto"/>
              <w:bottom w:val="single" w:sz="4" w:space="0" w:color="auto"/>
              <w:right w:val="single" w:sz="4" w:space="0" w:color="auto"/>
            </w:tcBorders>
            <w:hideMark/>
          </w:tcPr>
          <w:p w14:paraId="270B9E71" w14:textId="63CE27A8" w:rsidR="00821279" w:rsidRDefault="00821279">
            <w:pPr>
              <w:jc w:val="both"/>
            </w:pPr>
            <w:r>
              <w:t xml:space="preserve">      </w:t>
            </w:r>
            <w:r w:rsidR="008C3023">
              <w:t xml:space="preserve">           </w:t>
            </w:r>
            <w:r>
              <w:t>0,00</w:t>
            </w:r>
          </w:p>
        </w:tc>
        <w:tc>
          <w:tcPr>
            <w:tcW w:w="1013" w:type="dxa"/>
            <w:tcBorders>
              <w:top w:val="single" w:sz="4" w:space="0" w:color="auto"/>
              <w:left w:val="single" w:sz="4" w:space="0" w:color="auto"/>
              <w:bottom w:val="single" w:sz="4" w:space="0" w:color="auto"/>
              <w:right w:val="single" w:sz="4" w:space="0" w:color="auto"/>
            </w:tcBorders>
            <w:hideMark/>
          </w:tcPr>
          <w:p w14:paraId="03CA1485" w14:textId="1DF33C4A" w:rsidR="00821279" w:rsidRDefault="00821279">
            <w:pPr>
              <w:jc w:val="both"/>
            </w:pPr>
            <w:r>
              <w:t xml:space="preserve">  </w:t>
            </w:r>
            <w:r w:rsidR="009D3359">
              <w:t xml:space="preserve">  0,00</w:t>
            </w:r>
          </w:p>
        </w:tc>
      </w:tr>
      <w:tr w:rsidR="009D3359" w14:paraId="7E9B38E7" w14:textId="77777777" w:rsidTr="00821279">
        <w:tc>
          <w:tcPr>
            <w:tcW w:w="6629" w:type="dxa"/>
            <w:tcBorders>
              <w:top w:val="single" w:sz="4" w:space="0" w:color="auto"/>
              <w:left w:val="single" w:sz="4" w:space="0" w:color="auto"/>
              <w:bottom w:val="single" w:sz="4" w:space="0" w:color="auto"/>
              <w:right w:val="single" w:sz="4" w:space="0" w:color="auto"/>
            </w:tcBorders>
            <w:hideMark/>
          </w:tcPr>
          <w:p w14:paraId="637C1860" w14:textId="77777777" w:rsidR="00821279" w:rsidRDefault="00821279">
            <w:pPr>
              <w:jc w:val="both"/>
            </w:pPr>
            <w:r>
              <w:t>Rashodi za nabavu proizvedene dugotrajne imovine</w:t>
            </w:r>
          </w:p>
        </w:tc>
        <w:tc>
          <w:tcPr>
            <w:tcW w:w="2268" w:type="dxa"/>
            <w:tcBorders>
              <w:top w:val="single" w:sz="4" w:space="0" w:color="auto"/>
              <w:left w:val="single" w:sz="4" w:space="0" w:color="auto"/>
              <w:bottom w:val="single" w:sz="4" w:space="0" w:color="auto"/>
              <w:right w:val="single" w:sz="4" w:space="0" w:color="auto"/>
            </w:tcBorders>
            <w:hideMark/>
          </w:tcPr>
          <w:p w14:paraId="2ABFFEC2" w14:textId="0197B2EE" w:rsidR="00821279" w:rsidRDefault="00821279">
            <w:pPr>
              <w:jc w:val="both"/>
            </w:pPr>
            <w:r>
              <w:t xml:space="preserve"> </w:t>
            </w:r>
            <w:r w:rsidR="008C3023">
              <w:t xml:space="preserve">    </w:t>
            </w:r>
            <w:r>
              <w:t xml:space="preserve"> </w:t>
            </w:r>
            <w:r w:rsidR="008C3023">
              <w:t>145.066,93</w:t>
            </w:r>
          </w:p>
        </w:tc>
        <w:tc>
          <w:tcPr>
            <w:tcW w:w="1013" w:type="dxa"/>
            <w:tcBorders>
              <w:top w:val="single" w:sz="4" w:space="0" w:color="auto"/>
              <w:left w:val="single" w:sz="4" w:space="0" w:color="auto"/>
              <w:bottom w:val="single" w:sz="4" w:space="0" w:color="auto"/>
              <w:right w:val="single" w:sz="4" w:space="0" w:color="auto"/>
            </w:tcBorders>
            <w:hideMark/>
          </w:tcPr>
          <w:p w14:paraId="229D10D3" w14:textId="6087050C" w:rsidR="00821279" w:rsidRDefault="00821279">
            <w:pPr>
              <w:jc w:val="both"/>
            </w:pPr>
            <w:r>
              <w:t xml:space="preserve">  </w:t>
            </w:r>
            <w:r w:rsidR="009D3359">
              <w:t xml:space="preserve"> </w:t>
            </w:r>
            <w:r>
              <w:t xml:space="preserve"> </w:t>
            </w:r>
            <w:r w:rsidR="009D3359">
              <w:t>3,32</w:t>
            </w:r>
            <w:r>
              <w:t xml:space="preserve"> </w:t>
            </w:r>
          </w:p>
        </w:tc>
      </w:tr>
      <w:tr w:rsidR="009D3359" w14:paraId="0FE30699" w14:textId="77777777" w:rsidTr="00821279">
        <w:tc>
          <w:tcPr>
            <w:tcW w:w="6629" w:type="dxa"/>
            <w:tcBorders>
              <w:top w:val="single" w:sz="4" w:space="0" w:color="auto"/>
              <w:left w:val="single" w:sz="4" w:space="0" w:color="auto"/>
              <w:bottom w:val="single" w:sz="4" w:space="0" w:color="auto"/>
              <w:right w:val="single" w:sz="4" w:space="0" w:color="auto"/>
            </w:tcBorders>
            <w:hideMark/>
          </w:tcPr>
          <w:p w14:paraId="23E2F659" w14:textId="77777777" w:rsidR="00821279" w:rsidRDefault="00821279">
            <w:pPr>
              <w:jc w:val="both"/>
            </w:pPr>
            <w:r>
              <w:t>Rashodi za dodatna ulaganja na nefinancijskoj imovini</w:t>
            </w:r>
          </w:p>
        </w:tc>
        <w:tc>
          <w:tcPr>
            <w:tcW w:w="2268" w:type="dxa"/>
            <w:tcBorders>
              <w:top w:val="single" w:sz="4" w:space="0" w:color="auto"/>
              <w:left w:val="single" w:sz="4" w:space="0" w:color="auto"/>
              <w:bottom w:val="single" w:sz="4" w:space="0" w:color="auto"/>
              <w:right w:val="single" w:sz="4" w:space="0" w:color="auto"/>
            </w:tcBorders>
            <w:hideMark/>
          </w:tcPr>
          <w:p w14:paraId="551174B2" w14:textId="76FEC4AC" w:rsidR="00821279" w:rsidRDefault="00821279">
            <w:pPr>
              <w:jc w:val="both"/>
            </w:pPr>
            <w:r>
              <w:t xml:space="preserve">   </w:t>
            </w:r>
            <w:r w:rsidR="008C3023">
              <w:t xml:space="preserve">   160.885,00</w:t>
            </w:r>
          </w:p>
        </w:tc>
        <w:tc>
          <w:tcPr>
            <w:tcW w:w="1013" w:type="dxa"/>
            <w:tcBorders>
              <w:top w:val="single" w:sz="4" w:space="0" w:color="auto"/>
              <w:left w:val="single" w:sz="4" w:space="0" w:color="auto"/>
              <w:bottom w:val="single" w:sz="4" w:space="0" w:color="auto"/>
              <w:right w:val="single" w:sz="4" w:space="0" w:color="auto"/>
            </w:tcBorders>
            <w:hideMark/>
          </w:tcPr>
          <w:p w14:paraId="19B6ABA1" w14:textId="02093C77" w:rsidR="00821279" w:rsidRDefault="00D962AF">
            <w:pPr>
              <w:jc w:val="both"/>
            </w:pPr>
            <w:r>
              <w:t xml:space="preserve">   </w:t>
            </w:r>
            <w:r w:rsidR="00821279">
              <w:t xml:space="preserve"> </w:t>
            </w:r>
            <w:r>
              <w:t>3,69</w:t>
            </w:r>
          </w:p>
        </w:tc>
      </w:tr>
      <w:tr w:rsidR="009D3359" w14:paraId="335A7607" w14:textId="77777777" w:rsidTr="00821279">
        <w:tc>
          <w:tcPr>
            <w:tcW w:w="6629" w:type="dxa"/>
            <w:tcBorders>
              <w:top w:val="single" w:sz="4" w:space="0" w:color="auto"/>
              <w:left w:val="single" w:sz="4" w:space="0" w:color="auto"/>
              <w:bottom w:val="single" w:sz="4" w:space="0" w:color="auto"/>
              <w:right w:val="single" w:sz="4" w:space="0" w:color="auto"/>
            </w:tcBorders>
            <w:hideMark/>
          </w:tcPr>
          <w:p w14:paraId="1380DD86" w14:textId="77777777" w:rsidR="00821279" w:rsidRDefault="00821279">
            <w:pPr>
              <w:jc w:val="both"/>
            </w:pPr>
            <w:r>
              <w:t>UKUPNO</w:t>
            </w:r>
          </w:p>
        </w:tc>
        <w:tc>
          <w:tcPr>
            <w:tcW w:w="2268" w:type="dxa"/>
            <w:tcBorders>
              <w:top w:val="single" w:sz="4" w:space="0" w:color="auto"/>
              <w:left w:val="single" w:sz="4" w:space="0" w:color="auto"/>
              <w:bottom w:val="single" w:sz="4" w:space="0" w:color="auto"/>
              <w:right w:val="single" w:sz="4" w:space="0" w:color="auto"/>
            </w:tcBorders>
            <w:hideMark/>
          </w:tcPr>
          <w:p w14:paraId="51BF0B29" w14:textId="2F5F4231" w:rsidR="00821279" w:rsidRDefault="00821279">
            <w:pPr>
              <w:jc w:val="both"/>
            </w:pPr>
            <w:r>
              <w:t xml:space="preserve"> </w:t>
            </w:r>
            <w:r w:rsidR="006F7B91">
              <w:t xml:space="preserve">  4.365.937,56</w:t>
            </w:r>
          </w:p>
        </w:tc>
        <w:tc>
          <w:tcPr>
            <w:tcW w:w="1013" w:type="dxa"/>
            <w:tcBorders>
              <w:top w:val="single" w:sz="4" w:space="0" w:color="auto"/>
              <w:left w:val="single" w:sz="4" w:space="0" w:color="auto"/>
              <w:bottom w:val="single" w:sz="4" w:space="0" w:color="auto"/>
              <w:right w:val="single" w:sz="4" w:space="0" w:color="auto"/>
            </w:tcBorders>
            <w:hideMark/>
          </w:tcPr>
          <w:p w14:paraId="291C078D" w14:textId="77777777" w:rsidR="00821279" w:rsidRDefault="00821279">
            <w:pPr>
              <w:jc w:val="both"/>
            </w:pPr>
            <w:r>
              <w:t>100,00</w:t>
            </w:r>
          </w:p>
        </w:tc>
      </w:tr>
    </w:tbl>
    <w:p w14:paraId="306EC129" w14:textId="77777777" w:rsidR="00821279" w:rsidRDefault="00821279" w:rsidP="00821279">
      <w:pPr>
        <w:jc w:val="both"/>
      </w:pPr>
    </w:p>
    <w:p w14:paraId="23F51AD6" w14:textId="1F456F99" w:rsidR="00821279" w:rsidRDefault="00821279" w:rsidP="00821279">
      <w:pPr>
        <w:jc w:val="both"/>
      </w:pPr>
      <w:r>
        <w:t>Kod rashoda za plaće obuhvaćene su plaće zaposlenika u Jedinstvenom upravnom odjelu, plaće za zaposlene u dječjem vrtiću i plaće za zaposlene osobe na javnim radovima. Udio plaća zaposlenika dječjeg vrtića u ukupnim rashodima dječjeg vrtića iznosi 6</w:t>
      </w:r>
      <w:r w:rsidR="00DA2ABD">
        <w:t>8,13</w:t>
      </w:r>
      <w:r>
        <w:t xml:space="preserve">%. Udio plaća djelatnika Općine u ukupnim rashodima Općine iznosi </w:t>
      </w:r>
      <w:r w:rsidR="008E699D">
        <w:t>9,24</w:t>
      </w:r>
      <w:r>
        <w:t xml:space="preserve">%. </w:t>
      </w:r>
    </w:p>
    <w:p w14:paraId="0D134E86" w14:textId="77777777" w:rsidR="00821279" w:rsidRDefault="00821279" w:rsidP="00821279">
      <w:pPr>
        <w:jc w:val="both"/>
      </w:pPr>
    </w:p>
    <w:p w14:paraId="38B828CC" w14:textId="77777777" w:rsidR="00821279" w:rsidRDefault="00821279" w:rsidP="00821279">
      <w:pPr>
        <w:jc w:val="both"/>
      </w:pPr>
      <w:r>
        <w:rPr>
          <w:b/>
        </w:rPr>
        <w:t>B. RAČUN FINANCIRANJA</w:t>
      </w:r>
    </w:p>
    <w:p w14:paraId="22824D10" w14:textId="77777777" w:rsidR="00AD08F3" w:rsidRDefault="00AD08F3" w:rsidP="00AD08F3">
      <w:pPr>
        <w:jc w:val="both"/>
      </w:pPr>
      <w:r w:rsidRPr="000C1AB5">
        <w:t>Izdaci za financijsku imovinu i otplate zajmova iznose 2.745.859,37 k</w:t>
      </w:r>
      <w:r>
        <w:t>, a odnosi se na:</w:t>
      </w:r>
    </w:p>
    <w:p w14:paraId="7BD31881" w14:textId="77777777" w:rsidR="00AD08F3" w:rsidRDefault="00AD08F3" w:rsidP="00AD08F3">
      <w:pPr>
        <w:jc w:val="both"/>
        <w:rPr>
          <w:sz w:val="22"/>
          <w:szCs w:val="22"/>
        </w:rPr>
      </w:pPr>
      <w:r>
        <w:rPr>
          <w:bCs/>
          <w:sz w:val="22"/>
          <w:szCs w:val="22"/>
        </w:rPr>
        <w:t>-iznos od 348.039,40 kn odnosi se na otplatu glavnice za katastarsku izmjeru „Croatia“ banci</w:t>
      </w:r>
      <w:r w:rsidRPr="00225C35">
        <w:rPr>
          <w:sz w:val="22"/>
          <w:szCs w:val="22"/>
        </w:rPr>
        <w:t xml:space="preserve"> </w:t>
      </w:r>
      <w:r>
        <w:rPr>
          <w:sz w:val="22"/>
          <w:szCs w:val="22"/>
        </w:rPr>
        <w:t>Zagreb. Općina Sveti Ilija je u 2014.g. dobila dugoročni kredit od Croatia banke u iznosu od  3.099.831 kn,  rok korištenja kredita je bio do 31.12.2016.g., a otplata je na 6 godina, bez počeka u 25 rata jednake tromjesečne rate, prva rata je dospjela 31.03.2017.g., a kredit je primljen za „Katastarsku izmjeru Općine Sveti Ilija“ u okviru programa „Infrastruktura“. Općina je otplatila 23 rate kredita, ostale su još 2 rate za otplatiti u iznosu od 279.012,12 kn,</w:t>
      </w:r>
    </w:p>
    <w:p w14:paraId="6C6007D1" w14:textId="77777777" w:rsidR="00AD08F3" w:rsidRDefault="00AD08F3" w:rsidP="00AD08F3">
      <w:pPr>
        <w:jc w:val="both"/>
        <w:rPr>
          <w:bCs/>
          <w:sz w:val="22"/>
          <w:szCs w:val="22"/>
        </w:rPr>
      </w:pPr>
      <w:r>
        <w:rPr>
          <w:bCs/>
          <w:sz w:val="22"/>
          <w:szCs w:val="22"/>
        </w:rPr>
        <w:t>-otplata glavnice primljenih kredita od tuzemnih kreditnih institucija izvan javnog sektora u iznosu od 2.100.000,04 kn, a odnosi se na povrat kratkoročnog okvirnog kredita Zagrebačkoj banci u iznosu od 1.600.000,00 kn i na otplatu glavnice primljenih kreditnih institucija izvan javnog sektora Zagrebačkoj banci dugoročni kredit za izgradnju dječjeg vrtića u iznosu od 500.000,04 kn</w:t>
      </w:r>
    </w:p>
    <w:p w14:paraId="3B18DFFA" w14:textId="77777777" w:rsidR="00AD08F3" w:rsidRDefault="00AD08F3" w:rsidP="00AD08F3">
      <w:pPr>
        <w:jc w:val="both"/>
        <w:rPr>
          <w:sz w:val="22"/>
          <w:szCs w:val="22"/>
        </w:rPr>
      </w:pPr>
      <w:r>
        <w:rPr>
          <w:sz w:val="22"/>
          <w:szCs w:val="22"/>
        </w:rPr>
        <w:lastRenderedPageBreak/>
        <w:t>-otplata glavnice primljenih zajmova od državnog proračuna u iznosu od 297.819,93 kn, općina je podmirila dug zajma po godišnjoj prijavi za nedostatna sredstva u iznosu od 293.588,48 kn i zajma za odgođena plaćanja u iznosu od 4.231,45 kn</w:t>
      </w:r>
    </w:p>
    <w:p w14:paraId="0C01E3D8" w14:textId="77777777" w:rsidR="00821279" w:rsidRDefault="00821279" w:rsidP="00821279">
      <w:pPr>
        <w:jc w:val="both"/>
      </w:pPr>
    </w:p>
    <w:p w14:paraId="48FE7BC0" w14:textId="77777777" w:rsidR="00821279" w:rsidRDefault="00821279" w:rsidP="00821279">
      <w:pPr>
        <w:jc w:val="both"/>
      </w:pPr>
    </w:p>
    <w:p w14:paraId="65DE5CC0" w14:textId="77777777" w:rsidR="00821279" w:rsidRDefault="00821279" w:rsidP="00821279">
      <w:pPr>
        <w:jc w:val="both"/>
        <w:rPr>
          <w:b/>
        </w:rPr>
      </w:pPr>
      <w:r>
        <w:rPr>
          <w:b/>
        </w:rPr>
        <w:t>II POSEBNI DIO</w:t>
      </w:r>
    </w:p>
    <w:p w14:paraId="1E991016" w14:textId="39629AC2" w:rsidR="00821279" w:rsidRDefault="00097E8B" w:rsidP="00821279">
      <w:pPr>
        <w:jc w:val="both"/>
      </w:pPr>
      <w:r>
        <w:t>PRIHODI</w:t>
      </w:r>
    </w:p>
    <w:p w14:paraId="4F802018" w14:textId="3CF2D722" w:rsidR="00141FB1" w:rsidRDefault="00D20F47" w:rsidP="00141FB1">
      <w:pPr>
        <w:jc w:val="both"/>
        <w:rPr>
          <w:sz w:val="22"/>
          <w:szCs w:val="22"/>
        </w:rPr>
      </w:pPr>
      <w:proofErr w:type="spellStart"/>
      <w:r>
        <w:rPr>
          <w:sz w:val="22"/>
          <w:szCs w:val="22"/>
        </w:rPr>
        <w:t>Cto</w:t>
      </w:r>
      <w:proofErr w:type="spellEnd"/>
      <w:r w:rsidR="00141FB1">
        <w:rPr>
          <w:sz w:val="22"/>
          <w:szCs w:val="22"/>
        </w:rPr>
        <w:t xml:space="preserve"> 6117  Povrat poreza i prireza na dohodak po godišnjoj prijavi u iznosu od 1.1</w:t>
      </w:r>
      <w:r w:rsidR="00636C63">
        <w:rPr>
          <w:sz w:val="22"/>
          <w:szCs w:val="22"/>
        </w:rPr>
        <w:t>07.138,98</w:t>
      </w:r>
      <w:r w:rsidR="00141FB1">
        <w:rPr>
          <w:sz w:val="22"/>
          <w:szCs w:val="22"/>
        </w:rPr>
        <w:t xml:space="preserve">3 kn što je povećanje za </w:t>
      </w:r>
      <w:r w:rsidR="00636C63">
        <w:rPr>
          <w:sz w:val="22"/>
          <w:szCs w:val="22"/>
        </w:rPr>
        <w:t>119</w:t>
      </w:r>
      <w:r w:rsidR="00141FB1">
        <w:rPr>
          <w:sz w:val="22"/>
          <w:szCs w:val="22"/>
        </w:rPr>
        <w:t>% zbog povrata poreza mlađim osobama od 30 godina</w:t>
      </w:r>
    </w:p>
    <w:p w14:paraId="47CD20C1" w14:textId="4402DD5B" w:rsidR="00141FB1" w:rsidRDefault="00D20F47" w:rsidP="00141FB1">
      <w:pPr>
        <w:jc w:val="both"/>
        <w:rPr>
          <w:sz w:val="22"/>
          <w:szCs w:val="22"/>
        </w:rPr>
      </w:pPr>
      <w:proofErr w:type="spellStart"/>
      <w:r>
        <w:rPr>
          <w:sz w:val="22"/>
          <w:szCs w:val="22"/>
        </w:rPr>
        <w:t>Cto</w:t>
      </w:r>
      <w:proofErr w:type="spellEnd"/>
      <w:r w:rsidR="00636C63">
        <w:rPr>
          <w:sz w:val="22"/>
          <w:szCs w:val="22"/>
        </w:rPr>
        <w:t xml:space="preserve"> 6131 Stalni porezi na nepokretnu imovinu povećani su za 262,8%</w:t>
      </w:r>
      <w:r w:rsidR="00DD5520">
        <w:rPr>
          <w:sz w:val="22"/>
          <w:szCs w:val="22"/>
        </w:rPr>
        <w:t xml:space="preserve"> jer je porezna uprava poslala rješenja obveznicima kuća za odmor u 6.mj</w:t>
      </w:r>
      <w:r w:rsidR="00C2430E">
        <w:rPr>
          <w:sz w:val="22"/>
          <w:szCs w:val="22"/>
        </w:rPr>
        <w:t>. pa je stoga došlo do povećanja prihoda</w:t>
      </w:r>
    </w:p>
    <w:p w14:paraId="56038F85" w14:textId="71053B66" w:rsidR="00BE1ABE" w:rsidRDefault="00D20F47" w:rsidP="00141FB1">
      <w:pPr>
        <w:jc w:val="both"/>
        <w:rPr>
          <w:sz w:val="22"/>
          <w:szCs w:val="22"/>
        </w:rPr>
      </w:pPr>
      <w:proofErr w:type="spellStart"/>
      <w:r>
        <w:rPr>
          <w:sz w:val="22"/>
          <w:szCs w:val="22"/>
        </w:rPr>
        <w:t>Cto</w:t>
      </w:r>
      <w:proofErr w:type="spellEnd"/>
      <w:r w:rsidR="00BE1ABE">
        <w:rPr>
          <w:sz w:val="22"/>
          <w:szCs w:val="22"/>
        </w:rPr>
        <w:t xml:space="preserve"> 6142 Porez na promet, odnosi se </w:t>
      </w:r>
      <w:r w:rsidR="004355B8">
        <w:rPr>
          <w:sz w:val="22"/>
          <w:szCs w:val="22"/>
        </w:rPr>
        <w:t xml:space="preserve"> na porez na potrošnju alkoholnih i bezalkoholnih</w:t>
      </w:r>
      <w:r w:rsidR="00FB6C36">
        <w:rPr>
          <w:sz w:val="22"/>
          <w:szCs w:val="22"/>
        </w:rPr>
        <w:t xml:space="preserve"> pića u iznosu od 34.657,55 kn, a zbog ukidanja Covid-19 mjera</w:t>
      </w:r>
    </w:p>
    <w:p w14:paraId="5D895BEE" w14:textId="2B57C012" w:rsidR="00141FB1" w:rsidRDefault="00D20F47" w:rsidP="00141FB1">
      <w:pPr>
        <w:jc w:val="both"/>
        <w:rPr>
          <w:sz w:val="22"/>
          <w:szCs w:val="22"/>
        </w:rPr>
      </w:pPr>
      <w:proofErr w:type="spellStart"/>
      <w:r>
        <w:rPr>
          <w:sz w:val="22"/>
          <w:szCs w:val="22"/>
        </w:rPr>
        <w:t>Cto</w:t>
      </w:r>
      <w:proofErr w:type="spellEnd"/>
      <w:r w:rsidR="00B95051">
        <w:rPr>
          <w:sz w:val="22"/>
          <w:szCs w:val="22"/>
        </w:rPr>
        <w:t xml:space="preserve"> 6331</w:t>
      </w:r>
      <w:r w:rsidR="00141FB1">
        <w:rPr>
          <w:sz w:val="22"/>
          <w:szCs w:val="22"/>
        </w:rPr>
        <w:t xml:space="preserve"> Tekuće pomoći proračunu iz drugih proračuna u iznosu od </w:t>
      </w:r>
      <w:r w:rsidR="003B2B4E">
        <w:rPr>
          <w:sz w:val="22"/>
          <w:szCs w:val="22"/>
        </w:rPr>
        <w:t xml:space="preserve">414.985,98 kn odnosi se na pomoći iz državnog proračuna </w:t>
      </w:r>
    </w:p>
    <w:p w14:paraId="006A9C8E" w14:textId="08A18B24" w:rsidR="00420123" w:rsidRDefault="00D93CF9" w:rsidP="00141FB1">
      <w:pPr>
        <w:jc w:val="both"/>
        <w:rPr>
          <w:sz w:val="22"/>
          <w:szCs w:val="22"/>
        </w:rPr>
      </w:pPr>
      <w:proofErr w:type="spellStart"/>
      <w:r>
        <w:rPr>
          <w:sz w:val="22"/>
          <w:szCs w:val="22"/>
        </w:rPr>
        <w:t>Cto</w:t>
      </w:r>
      <w:proofErr w:type="spellEnd"/>
      <w:r w:rsidR="00420123">
        <w:rPr>
          <w:sz w:val="22"/>
          <w:szCs w:val="22"/>
        </w:rPr>
        <w:t xml:space="preserve"> 6341 Tekuće pomoći od izvanproračunskih korisnika u iznosu od </w:t>
      </w:r>
      <w:r w:rsidR="00EF6B5D">
        <w:rPr>
          <w:sz w:val="22"/>
          <w:szCs w:val="22"/>
        </w:rPr>
        <w:t xml:space="preserve">164.883,31 kn, odnosi se na pomoći od HZZ-a za zaposlene u javnim radovima 1 djelatnik u iznosu od 33.977,67 i Varkom </w:t>
      </w:r>
      <w:proofErr w:type="spellStart"/>
      <w:r w:rsidR="00EF6B5D">
        <w:rPr>
          <w:sz w:val="22"/>
          <w:szCs w:val="22"/>
        </w:rPr>
        <w:t>dd</w:t>
      </w:r>
      <w:proofErr w:type="spellEnd"/>
      <w:r w:rsidR="00DD0BCB">
        <w:rPr>
          <w:sz w:val="22"/>
          <w:szCs w:val="22"/>
        </w:rPr>
        <w:t xml:space="preserve"> povrat sredstava za sufinanciranje kanalizacijske mreže</w:t>
      </w:r>
      <w:r w:rsidR="00C8308F">
        <w:rPr>
          <w:sz w:val="22"/>
          <w:szCs w:val="22"/>
        </w:rPr>
        <w:t xml:space="preserve"> u Svetom Iliji u iznosu od 130.905,64 kn-sredstva oporavka</w:t>
      </w:r>
    </w:p>
    <w:p w14:paraId="7998A342" w14:textId="497DAE36" w:rsidR="00141FB1" w:rsidRDefault="00D93CF9" w:rsidP="00141FB1">
      <w:pPr>
        <w:jc w:val="both"/>
        <w:rPr>
          <w:sz w:val="22"/>
          <w:szCs w:val="22"/>
        </w:rPr>
      </w:pPr>
      <w:proofErr w:type="spellStart"/>
      <w:r>
        <w:rPr>
          <w:sz w:val="22"/>
          <w:szCs w:val="22"/>
        </w:rPr>
        <w:t>Cto</w:t>
      </w:r>
      <w:proofErr w:type="spellEnd"/>
      <w:r w:rsidR="00CF2156">
        <w:rPr>
          <w:sz w:val="22"/>
          <w:szCs w:val="22"/>
        </w:rPr>
        <w:t xml:space="preserve"> 6423 Naknada za korištenje nefinancijske imovine u iznosu od 4</w:t>
      </w:r>
      <w:r w:rsidR="004E6B31">
        <w:rPr>
          <w:sz w:val="22"/>
          <w:szCs w:val="22"/>
        </w:rPr>
        <w:t>.232,62 kn, odnosi se na promjenu poljoprivrednog zemljišta</w:t>
      </w:r>
    </w:p>
    <w:p w14:paraId="4583718F" w14:textId="24234CE7" w:rsidR="004E6B31" w:rsidRDefault="00B51937" w:rsidP="00141FB1">
      <w:pPr>
        <w:jc w:val="both"/>
        <w:rPr>
          <w:sz w:val="22"/>
          <w:szCs w:val="22"/>
        </w:rPr>
      </w:pPr>
      <w:proofErr w:type="spellStart"/>
      <w:r>
        <w:rPr>
          <w:sz w:val="22"/>
          <w:szCs w:val="22"/>
        </w:rPr>
        <w:t>Cto</w:t>
      </w:r>
      <w:proofErr w:type="spellEnd"/>
      <w:r>
        <w:rPr>
          <w:sz w:val="22"/>
          <w:szCs w:val="22"/>
        </w:rPr>
        <w:t xml:space="preserve"> </w:t>
      </w:r>
      <w:r w:rsidR="004E6B31">
        <w:rPr>
          <w:sz w:val="22"/>
          <w:szCs w:val="22"/>
        </w:rPr>
        <w:t xml:space="preserve">6424 Naknada za ceste u iznosu od </w:t>
      </w:r>
      <w:r w:rsidR="0035131C">
        <w:rPr>
          <w:sz w:val="22"/>
          <w:szCs w:val="22"/>
        </w:rPr>
        <w:t>100.375,00 kn, odnosi se na saniranje štete na nerazvrstanoj cesti</w:t>
      </w:r>
      <w:r w:rsidR="00C915A1">
        <w:rPr>
          <w:sz w:val="22"/>
          <w:szCs w:val="22"/>
        </w:rPr>
        <w:t xml:space="preserve"> koju je podmirio izvođač radova koji je istu oštetio</w:t>
      </w:r>
    </w:p>
    <w:p w14:paraId="5DAD77E5" w14:textId="2DD83A2F" w:rsidR="00AA1CF0" w:rsidRDefault="00B51937" w:rsidP="00141FB1">
      <w:pPr>
        <w:jc w:val="both"/>
        <w:rPr>
          <w:sz w:val="22"/>
          <w:szCs w:val="22"/>
        </w:rPr>
      </w:pPr>
      <w:proofErr w:type="spellStart"/>
      <w:r>
        <w:rPr>
          <w:sz w:val="22"/>
          <w:szCs w:val="22"/>
        </w:rPr>
        <w:t>Cto</w:t>
      </w:r>
      <w:proofErr w:type="spellEnd"/>
      <w:r w:rsidR="00AA1CF0">
        <w:rPr>
          <w:sz w:val="22"/>
          <w:szCs w:val="22"/>
        </w:rPr>
        <w:t xml:space="preserve"> 6526 Ostali nespomenuti prihodi u iznosu od </w:t>
      </w:r>
      <w:r w:rsidR="006C1DA9">
        <w:rPr>
          <w:sz w:val="22"/>
          <w:szCs w:val="22"/>
        </w:rPr>
        <w:t xml:space="preserve">604.233,44 kn, iznos od </w:t>
      </w:r>
      <w:r w:rsidR="00AA1CF0">
        <w:rPr>
          <w:sz w:val="22"/>
          <w:szCs w:val="22"/>
        </w:rPr>
        <w:t>19.934,87</w:t>
      </w:r>
      <w:r w:rsidR="003759D8">
        <w:rPr>
          <w:sz w:val="22"/>
          <w:szCs w:val="22"/>
        </w:rPr>
        <w:t xml:space="preserve"> kn</w:t>
      </w:r>
      <w:r w:rsidR="00AA1CF0">
        <w:rPr>
          <w:sz w:val="22"/>
          <w:szCs w:val="22"/>
        </w:rPr>
        <w:t xml:space="preserve"> odnosi se na korištenje </w:t>
      </w:r>
      <w:r w:rsidR="004614C6">
        <w:rPr>
          <w:sz w:val="22"/>
          <w:szCs w:val="22"/>
        </w:rPr>
        <w:t xml:space="preserve">(vode, </w:t>
      </w:r>
      <w:proofErr w:type="spellStart"/>
      <w:r w:rsidR="004614C6">
        <w:rPr>
          <w:sz w:val="22"/>
          <w:szCs w:val="22"/>
        </w:rPr>
        <w:t>el.energije</w:t>
      </w:r>
      <w:proofErr w:type="spellEnd"/>
      <w:r w:rsidR="004614C6">
        <w:rPr>
          <w:sz w:val="22"/>
          <w:szCs w:val="22"/>
        </w:rPr>
        <w:t xml:space="preserve"> i plina) kod izgradnje </w:t>
      </w:r>
      <w:proofErr w:type="spellStart"/>
      <w:r w:rsidR="004614C6">
        <w:rPr>
          <w:sz w:val="22"/>
          <w:szCs w:val="22"/>
        </w:rPr>
        <w:t>dj</w:t>
      </w:r>
      <w:proofErr w:type="spellEnd"/>
      <w:r w:rsidR="004614C6">
        <w:rPr>
          <w:sz w:val="22"/>
          <w:szCs w:val="22"/>
        </w:rPr>
        <w:t xml:space="preserve">. </w:t>
      </w:r>
      <w:r w:rsidR="003759D8">
        <w:rPr>
          <w:sz w:val="22"/>
          <w:szCs w:val="22"/>
        </w:rPr>
        <w:t>v</w:t>
      </w:r>
      <w:r w:rsidR="004614C6">
        <w:rPr>
          <w:sz w:val="22"/>
          <w:szCs w:val="22"/>
        </w:rPr>
        <w:t>rtića</w:t>
      </w:r>
      <w:r w:rsidR="003759D8">
        <w:rPr>
          <w:sz w:val="22"/>
          <w:szCs w:val="22"/>
        </w:rPr>
        <w:t>, koju je podmirio izvođač radova</w:t>
      </w:r>
      <w:r w:rsidR="006C1DA9">
        <w:rPr>
          <w:sz w:val="22"/>
          <w:szCs w:val="22"/>
        </w:rPr>
        <w:t>, a iznos od 584.298,57 kn odnosi se na proračunskog korisnika</w:t>
      </w:r>
      <w:r w:rsidR="00946CE3">
        <w:rPr>
          <w:sz w:val="22"/>
          <w:szCs w:val="22"/>
        </w:rPr>
        <w:t xml:space="preserve"> i to za sufinanciranje cijene vrtića u iznosu od 579.268,81 kn, osiguranje djece u iznosu od 40,00 kn i za financiranje dječjih izleta</w:t>
      </w:r>
      <w:r w:rsidR="007558B4">
        <w:rPr>
          <w:sz w:val="22"/>
          <w:szCs w:val="22"/>
        </w:rPr>
        <w:t xml:space="preserve"> 4.989,76 kn</w:t>
      </w:r>
    </w:p>
    <w:p w14:paraId="2ADBEB62" w14:textId="4A12F7AE" w:rsidR="00141FB1" w:rsidRDefault="00B51937" w:rsidP="00141FB1">
      <w:pPr>
        <w:jc w:val="both"/>
        <w:rPr>
          <w:sz w:val="22"/>
          <w:szCs w:val="22"/>
        </w:rPr>
      </w:pPr>
      <w:proofErr w:type="spellStart"/>
      <w:r>
        <w:rPr>
          <w:sz w:val="22"/>
          <w:szCs w:val="22"/>
        </w:rPr>
        <w:t>Cto</w:t>
      </w:r>
      <w:proofErr w:type="spellEnd"/>
      <w:r w:rsidR="00A135F1">
        <w:rPr>
          <w:sz w:val="22"/>
          <w:szCs w:val="22"/>
        </w:rPr>
        <w:t xml:space="preserve"> 6632 Kapitalne donacije u 2022.g. ih nije bilo, dok je u </w:t>
      </w:r>
      <w:r w:rsidR="00AC54B7">
        <w:rPr>
          <w:sz w:val="22"/>
          <w:szCs w:val="22"/>
        </w:rPr>
        <w:t xml:space="preserve">2021.g. bilo od </w:t>
      </w:r>
      <w:proofErr w:type="spellStart"/>
      <w:r w:rsidR="00AC54B7">
        <w:rPr>
          <w:sz w:val="22"/>
          <w:szCs w:val="22"/>
        </w:rPr>
        <w:t>ošasne</w:t>
      </w:r>
      <w:proofErr w:type="spellEnd"/>
      <w:r w:rsidR="00AC54B7">
        <w:rPr>
          <w:sz w:val="22"/>
          <w:szCs w:val="22"/>
        </w:rPr>
        <w:t xml:space="preserve"> imovine i defibri</w:t>
      </w:r>
      <w:r w:rsidR="004520F5">
        <w:rPr>
          <w:sz w:val="22"/>
          <w:szCs w:val="22"/>
        </w:rPr>
        <w:t>l</w:t>
      </w:r>
      <w:r w:rsidR="00141FB1">
        <w:rPr>
          <w:sz w:val="22"/>
          <w:szCs w:val="22"/>
        </w:rPr>
        <w:t>ator od Gradskog društva crvenog križa</w:t>
      </w:r>
    </w:p>
    <w:p w14:paraId="1F21ACF4" w14:textId="646138F0" w:rsidR="000C591F" w:rsidRDefault="00B51937" w:rsidP="00141FB1">
      <w:pPr>
        <w:jc w:val="both"/>
        <w:rPr>
          <w:sz w:val="22"/>
          <w:szCs w:val="22"/>
        </w:rPr>
      </w:pPr>
      <w:proofErr w:type="spellStart"/>
      <w:r>
        <w:rPr>
          <w:sz w:val="22"/>
          <w:szCs w:val="22"/>
        </w:rPr>
        <w:t>Cto</w:t>
      </w:r>
      <w:proofErr w:type="spellEnd"/>
      <w:r w:rsidR="000C591F">
        <w:rPr>
          <w:sz w:val="22"/>
          <w:szCs w:val="22"/>
        </w:rPr>
        <w:t xml:space="preserve"> 6711 Prihodi iz nadležnog proračuna za financiranje r</w:t>
      </w:r>
      <w:r w:rsidR="006C0755">
        <w:rPr>
          <w:sz w:val="22"/>
          <w:szCs w:val="22"/>
        </w:rPr>
        <w:t>a</w:t>
      </w:r>
      <w:r w:rsidR="000C591F">
        <w:rPr>
          <w:sz w:val="22"/>
          <w:szCs w:val="22"/>
        </w:rPr>
        <w:t>shoda poslovanja u iznosu od 324.276,47</w:t>
      </w:r>
      <w:r w:rsidR="006C0755">
        <w:rPr>
          <w:sz w:val="22"/>
          <w:szCs w:val="22"/>
        </w:rPr>
        <w:t xml:space="preserve"> kn </w:t>
      </w:r>
      <w:r w:rsidR="000C591F">
        <w:rPr>
          <w:sz w:val="22"/>
          <w:szCs w:val="22"/>
        </w:rPr>
        <w:t xml:space="preserve">odnosi se na proračunskog korisnika dječji vrtić </w:t>
      </w:r>
      <w:r w:rsidR="006C0755">
        <w:rPr>
          <w:sz w:val="22"/>
          <w:szCs w:val="22"/>
        </w:rPr>
        <w:t>za rashode poslovanja</w:t>
      </w:r>
    </w:p>
    <w:p w14:paraId="18AEE324" w14:textId="4EDA59E5" w:rsidR="006C0755" w:rsidRDefault="00B51937" w:rsidP="00141FB1">
      <w:pPr>
        <w:jc w:val="both"/>
        <w:rPr>
          <w:sz w:val="22"/>
          <w:szCs w:val="22"/>
        </w:rPr>
      </w:pPr>
      <w:proofErr w:type="spellStart"/>
      <w:r>
        <w:rPr>
          <w:sz w:val="22"/>
          <w:szCs w:val="22"/>
        </w:rPr>
        <w:t>Cto</w:t>
      </w:r>
      <w:proofErr w:type="spellEnd"/>
      <w:r w:rsidR="006C0755">
        <w:rPr>
          <w:sz w:val="22"/>
          <w:szCs w:val="22"/>
        </w:rPr>
        <w:t xml:space="preserve"> 6712</w:t>
      </w:r>
      <w:r w:rsidR="00841AB4">
        <w:rPr>
          <w:sz w:val="22"/>
          <w:szCs w:val="22"/>
        </w:rPr>
        <w:t xml:space="preserve"> Prihodi iz nadležnog proračuna za financiranje rashoda za nabavu nefinancijske imovine</w:t>
      </w:r>
      <w:r w:rsidR="008B06FB">
        <w:rPr>
          <w:sz w:val="22"/>
          <w:szCs w:val="22"/>
        </w:rPr>
        <w:t xml:space="preserve"> u iznosu od 18.618,49 kn, a za nabavu prijenosnog računala i komarnika za prozore i vrata na dječjem vrtiću</w:t>
      </w:r>
    </w:p>
    <w:p w14:paraId="79C6ACB4" w14:textId="16D7CC43" w:rsidR="00085278" w:rsidRDefault="00085278" w:rsidP="00141FB1">
      <w:pPr>
        <w:jc w:val="both"/>
        <w:rPr>
          <w:sz w:val="22"/>
          <w:szCs w:val="22"/>
        </w:rPr>
      </w:pPr>
    </w:p>
    <w:p w14:paraId="6FC3DA43" w14:textId="075D01FC" w:rsidR="00097E8B" w:rsidRDefault="00097E8B" w:rsidP="00141FB1">
      <w:pPr>
        <w:jc w:val="both"/>
        <w:rPr>
          <w:sz w:val="22"/>
          <w:szCs w:val="22"/>
        </w:rPr>
      </w:pPr>
      <w:r>
        <w:rPr>
          <w:sz w:val="22"/>
          <w:szCs w:val="22"/>
        </w:rPr>
        <w:t>RASHODI</w:t>
      </w:r>
    </w:p>
    <w:p w14:paraId="066CD066" w14:textId="339EB4A8" w:rsidR="00085278" w:rsidRDefault="00371001" w:rsidP="00141FB1">
      <w:pPr>
        <w:jc w:val="both"/>
        <w:rPr>
          <w:sz w:val="22"/>
          <w:szCs w:val="22"/>
        </w:rPr>
      </w:pPr>
      <w:proofErr w:type="spellStart"/>
      <w:r>
        <w:rPr>
          <w:sz w:val="22"/>
          <w:szCs w:val="22"/>
        </w:rPr>
        <w:t>Cto</w:t>
      </w:r>
      <w:proofErr w:type="spellEnd"/>
      <w:r>
        <w:rPr>
          <w:sz w:val="22"/>
          <w:szCs w:val="22"/>
        </w:rPr>
        <w:t xml:space="preserve"> </w:t>
      </w:r>
      <w:r w:rsidR="00085278">
        <w:rPr>
          <w:sz w:val="22"/>
          <w:szCs w:val="22"/>
        </w:rPr>
        <w:t xml:space="preserve">3111 </w:t>
      </w:r>
      <w:r w:rsidR="00B57922">
        <w:rPr>
          <w:sz w:val="22"/>
          <w:szCs w:val="22"/>
        </w:rPr>
        <w:t>Plaće za redovan rad u iznosu od 924.241,75 kn, za 8 zaposlenika općin</w:t>
      </w:r>
      <w:r w:rsidR="007E3107">
        <w:rPr>
          <w:sz w:val="22"/>
          <w:szCs w:val="22"/>
        </w:rPr>
        <w:t xml:space="preserve">e i jednog na javnim radovima izdvojeno je 369.726,16 kn, dok je za </w:t>
      </w:r>
      <w:r w:rsidR="00517B00">
        <w:rPr>
          <w:sz w:val="22"/>
          <w:szCs w:val="22"/>
        </w:rPr>
        <w:t xml:space="preserve">12 </w:t>
      </w:r>
      <w:r w:rsidR="007E3107">
        <w:rPr>
          <w:sz w:val="22"/>
          <w:szCs w:val="22"/>
        </w:rPr>
        <w:t>dje</w:t>
      </w:r>
      <w:r w:rsidR="00517B00">
        <w:rPr>
          <w:sz w:val="22"/>
          <w:szCs w:val="22"/>
        </w:rPr>
        <w:t>latnika dječjeg vrtića izdvojeno 554.515,59 kn</w:t>
      </w:r>
    </w:p>
    <w:p w14:paraId="1DBEF4C6" w14:textId="3C27E95F" w:rsidR="00141FB1" w:rsidRDefault="00371001" w:rsidP="00141FB1">
      <w:pPr>
        <w:jc w:val="both"/>
        <w:rPr>
          <w:sz w:val="22"/>
          <w:szCs w:val="22"/>
        </w:rPr>
      </w:pPr>
      <w:proofErr w:type="spellStart"/>
      <w:r>
        <w:rPr>
          <w:sz w:val="22"/>
          <w:szCs w:val="22"/>
        </w:rPr>
        <w:t>Cto</w:t>
      </w:r>
      <w:proofErr w:type="spellEnd"/>
      <w:r w:rsidR="0011306D">
        <w:rPr>
          <w:sz w:val="22"/>
          <w:szCs w:val="22"/>
        </w:rPr>
        <w:t xml:space="preserve"> 3112 Plaća u naravi u iznosu od 11.708,0</w:t>
      </w:r>
      <w:r w:rsidR="0065255B">
        <w:rPr>
          <w:sz w:val="22"/>
          <w:szCs w:val="22"/>
        </w:rPr>
        <w:t>2 kn, odnosi se na topli obrok 8 zaposlenika u JUO općine</w:t>
      </w:r>
    </w:p>
    <w:p w14:paraId="25FC4758" w14:textId="497C9F54" w:rsidR="00141FB1" w:rsidRDefault="00371001" w:rsidP="00141FB1">
      <w:pPr>
        <w:jc w:val="both"/>
        <w:rPr>
          <w:sz w:val="22"/>
          <w:szCs w:val="22"/>
        </w:rPr>
      </w:pPr>
      <w:proofErr w:type="spellStart"/>
      <w:r>
        <w:rPr>
          <w:sz w:val="22"/>
          <w:szCs w:val="22"/>
        </w:rPr>
        <w:t>Cto</w:t>
      </w:r>
      <w:proofErr w:type="spellEnd"/>
      <w:r w:rsidR="001D7740">
        <w:rPr>
          <w:sz w:val="22"/>
          <w:szCs w:val="22"/>
        </w:rPr>
        <w:t xml:space="preserve"> 312 Ostali rashodi za zaposlen</w:t>
      </w:r>
      <w:r w:rsidR="003744BE">
        <w:rPr>
          <w:sz w:val="22"/>
          <w:szCs w:val="22"/>
        </w:rPr>
        <w:t>e</w:t>
      </w:r>
      <w:r w:rsidR="001D7740">
        <w:rPr>
          <w:sz w:val="22"/>
          <w:szCs w:val="22"/>
        </w:rPr>
        <w:t xml:space="preserve"> u iznosu od </w:t>
      </w:r>
      <w:r w:rsidR="0036528E">
        <w:rPr>
          <w:sz w:val="22"/>
          <w:szCs w:val="22"/>
        </w:rPr>
        <w:t xml:space="preserve">39.750,00 kn, iznos od </w:t>
      </w:r>
      <w:r w:rsidR="003744BE">
        <w:rPr>
          <w:sz w:val="22"/>
          <w:szCs w:val="22"/>
        </w:rPr>
        <w:t>17.500,00 kn</w:t>
      </w:r>
      <w:r w:rsidR="0036528E">
        <w:rPr>
          <w:sz w:val="22"/>
          <w:szCs w:val="22"/>
        </w:rPr>
        <w:t xml:space="preserve"> odnosi se na djelatnike općine i to na</w:t>
      </w:r>
      <w:r w:rsidR="003B5C5C">
        <w:rPr>
          <w:sz w:val="22"/>
          <w:szCs w:val="22"/>
        </w:rPr>
        <w:t xml:space="preserve"> </w:t>
      </w:r>
      <w:r w:rsidR="00915128">
        <w:rPr>
          <w:sz w:val="22"/>
          <w:szCs w:val="22"/>
        </w:rPr>
        <w:t>2 jubilarne nagrade zapo</w:t>
      </w:r>
      <w:r w:rsidR="00FF121A">
        <w:rPr>
          <w:sz w:val="22"/>
          <w:szCs w:val="22"/>
        </w:rPr>
        <w:t>s</w:t>
      </w:r>
      <w:r w:rsidR="00915128">
        <w:rPr>
          <w:sz w:val="22"/>
          <w:szCs w:val="22"/>
        </w:rPr>
        <w:t xml:space="preserve">lenima u iznosu od 2.000,00 kn, pomoć za smrtni slučaj u iznosu od 1.500,00 kn, </w:t>
      </w:r>
      <w:r w:rsidR="00030F64">
        <w:rPr>
          <w:sz w:val="22"/>
          <w:szCs w:val="22"/>
        </w:rPr>
        <w:t xml:space="preserve">8 </w:t>
      </w:r>
      <w:proofErr w:type="spellStart"/>
      <w:r w:rsidR="00915128">
        <w:rPr>
          <w:sz w:val="22"/>
          <w:szCs w:val="22"/>
        </w:rPr>
        <w:t>uskrsnic</w:t>
      </w:r>
      <w:r w:rsidR="00030F64">
        <w:rPr>
          <w:sz w:val="22"/>
          <w:szCs w:val="22"/>
        </w:rPr>
        <w:t>a</w:t>
      </w:r>
      <w:proofErr w:type="spellEnd"/>
      <w:r w:rsidR="00030F64">
        <w:rPr>
          <w:sz w:val="22"/>
          <w:szCs w:val="22"/>
        </w:rPr>
        <w:t xml:space="preserve"> u iznosu od 4.000,00 kn i regres 8 djel</w:t>
      </w:r>
      <w:r w:rsidR="00FF121A">
        <w:rPr>
          <w:sz w:val="22"/>
          <w:szCs w:val="22"/>
        </w:rPr>
        <w:t>a</w:t>
      </w:r>
      <w:r w:rsidR="00030F64">
        <w:rPr>
          <w:sz w:val="22"/>
          <w:szCs w:val="22"/>
        </w:rPr>
        <w:t>tnika u iznosu od 10.000,00 kn</w:t>
      </w:r>
      <w:r w:rsidR="00827881">
        <w:rPr>
          <w:sz w:val="22"/>
          <w:szCs w:val="22"/>
        </w:rPr>
        <w:t>, dok se iznos od 22.250,00 kn odnosi na djelatnike dječjeg vrtića i to za:</w:t>
      </w:r>
      <w:r w:rsidR="00927438">
        <w:rPr>
          <w:sz w:val="22"/>
          <w:szCs w:val="22"/>
        </w:rPr>
        <w:t xml:space="preserve"> </w:t>
      </w:r>
      <w:proofErr w:type="spellStart"/>
      <w:r w:rsidR="00FE59EA">
        <w:rPr>
          <w:sz w:val="22"/>
          <w:szCs w:val="22"/>
        </w:rPr>
        <w:t>uskrsnice</w:t>
      </w:r>
      <w:proofErr w:type="spellEnd"/>
      <w:r w:rsidR="00FE59EA">
        <w:rPr>
          <w:sz w:val="22"/>
          <w:szCs w:val="22"/>
        </w:rPr>
        <w:t xml:space="preserve"> u iznosu od 6.000,00 kn i za regres u iznosu od 16.250,00 kn</w:t>
      </w:r>
      <w:r w:rsidR="00927438">
        <w:rPr>
          <w:sz w:val="22"/>
          <w:szCs w:val="22"/>
        </w:rPr>
        <w:t xml:space="preserve"> </w:t>
      </w:r>
      <w:r w:rsidR="00DA38E3">
        <w:rPr>
          <w:sz w:val="22"/>
          <w:szCs w:val="22"/>
        </w:rPr>
        <w:t>za</w:t>
      </w:r>
      <w:r w:rsidR="00927438">
        <w:rPr>
          <w:sz w:val="22"/>
          <w:szCs w:val="22"/>
        </w:rPr>
        <w:t xml:space="preserve"> djelatnik</w:t>
      </w:r>
      <w:r w:rsidR="00DA38E3">
        <w:rPr>
          <w:sz w:val="22"/>
          <w:szCs w:val="22"/>
        </w:rPr>
        <w:t xml:space="preserve">e </w:t>
      </w:r>
      <w:r w:rsidR="00927438">
        <w:rPr>
          <w:sz w:val="22"/>
          <w:szCs w:val="22"/>
        </w:rPr>
        <w:t>dječjeg vrtića</w:t>
      </w:r>
    </w:p>
    <w:p w14:paraId="361E3C10" w14:textId="72CAA3F4" w:rsidR="00BB26F7" w:rsidRDefault="00371001" w:rsidP="00141FB1">
      <w:pPr>
        <w:jc w:val="both"/>
        <w:rPr>
          <w:sz w:val="22"/>
          <w:szCs w:val="22"/>
        </w:rPr>
      </w:pPr>
      <w:proofErr w:type="spellStart"/>
      <w:r>
        <w:rPr>
          <w:sz w:val="22"/>
          <w:szCs w:val="22"/>
        </w:rPr>
        <w:t>Cto</w:t>
      </w:r>
      <w:proofErr w:type="spellEnd"/>
      <w:r w:rsidR="00BB26F7">
        <w:rPr>
          <w:sz w:val="22"/>
          <w:szCs w:val="22"/>
        </w:rPr>
        <w:t xml:space="preserve"> 3132 Doprinosi za obvezno zdravstveno osiguranje u iznosu od 120.518,99 kn, iznos od </w:t>
      </w:r>
      <w:r w:rsidR="00533F3D">
        <w:rPr>
          <w:sz w:val="22"/>
          <w:szCs w:val="22"/>
        </w:rPr>
        <w:t>48.741,34 kn odnosi se na djelatnike općine, dok se iznos od 71.777,65 kn odnosi na proračunskog korisnika</w:t>
      </w:r>
    </w:p>
    <w:p w14:paraId="1C5D6BFB" w14:textId="79824C1E" w:rsidR="00682616" w:rsidRDefault="00371001" w:rsidP="00141FB1">
      <w:pPr>
        <w:jc w:val="both"/>
        <w:rPr>
          <w:sz w:val="22"/>
          <w:szCs w:val="22"/>
        </w:rPr>
      </w:pPr>
      <w:proofErr w:type="spellStart"/>
      <w:r>
        <w:rPr>
          <w:sz w:val="22"/>
          <w:szCs w:val="22"/>
        </w:rPr>
        <w:t>Cto</w:t>
      </w:r>
      <w:proofErr w:type="spellEnd"/>
      <w:r w:rsidR="00682616">
        <w:rPr>
          <w:sz w:val="22"/>
          <w:szCs w:val="22"/>
        </w:rPr>
        <w:t xml:space="preserve"> 3212 Naknada za prijevoz u iznosu od 46.875,25 kn</w:t>
      </w:r>
      <w:r w:rsidR="00153598">
        <w:rPr>
          <w:sz w:val="22"/>
          <w:szCs w:val="22"/>
        </w:rPr>
        <w:t xml:space="preserve">, iznos od 19.670,29 kn </w:t>
      </w:r>
      <w:r w:rsidR="00682616">
        <w:rPr>
          <w:sz w:val="22"/>
          <w:szCs w:val="22"/>
        </w:rPr>
        <w:t>odnosi se na djelatnike općine</w:t>
      </w:r>
      <w:r w:rsidR="00153598">
        <w:rPr>
          <w:sz w:val="22"/>
          <w:szCs w:val="22"/>
        </w:rPr>
        <w:t>, dok se iznos od 27.204,96 kn donosi na proračunskog korisnika</w:t>
      </w:r>
    </w:p>
    <w:p w14:paraId="5CD7C1FC" w14:textId="04461D56" w:rsidR="00141FB1" w:rsidRDefault="00F52935" w:rsidP="00141FB1">
      <w:pPr>
        <w:jc w:val="both"/>
        <w:rPr>
          <w:sz w:val="22"/>
          <w:szCs w:val="22"/>
        </w:rPr>
      </w:pPr>
      <w:proofErr w:type="spellStart"/>
      <w:r>
        <w:rPr>
          <w:sz w:val="22"/>
          <w:szCs w:val="22"/>
        </w:rPr>
        <w:t>Cto</w:t>
      </w:r>
      <w:proofErr w:type="spellEnd"/>
      <w:r w:rsidR="00073A83">
        <w:rPr>
          <w:sz w:val="22"/>
          <w:szCs w:val="22"/>
        </w:rPr>
        <w:t xml:space="preserve"> 3221 </w:t>
      </w:r>
      <w:r w:rsidR="00141FB1">
        <w:rPr>
          <w:sz w:val="22"/>
          <w:szCs w:val="22"/>
        </w:rPr>
        <w:t>Uredski materijal i ostali materijalni rashodi u iznosu od</w:t>
      </w:r>
      <w:r w:rsidR="00AB7B78">
        <w:rPr>
          <w:sz w:val="22"/>
          <w:szCs w:val="22"/>
        </w:rPr>
        <w:t xml:space="preserve"> </w:t>
      </w:r>
      <w:r w:rsidR="0074268F">
        <w:rPr>
          <w:sz w:val="22"/>
          <w:szCs w:val="22"/>
        </w:rPr>
        <w:t>45.580,87 kn</w:t>
      </w:r>
      <w:r w:rsidR="00AB7B78">
        <w:rPr>
          <w:sz w:val="22"/>
          <w:szCs w:val="22"/>
        </w:rPr>
        <w:t xml:space="preserve">, iznos od </w:t>
      </w:r>
      <w:r w:rsidR="00141FB1">
        <w:rPr>
          <w:sz w:val="22"/>
          <w:szCs w:val="22"/>
        </w:rPr>
        <w:t xml:space="preserve"> </w:t>
      </w:r>
      <w:r w:rsidR="00073A83">
        <w:rPr>
          <w:sz w:val="22"/>
          <w:szCs w:val="22"/>
        </w:rPr>
        <w:t>13.452,85 kn</w:t>
      </w:r>
      <w:r w:rsidR="00AB7B78">
        <w:rPr>
          <w:sz w:val="22"/>
          <w:szCs w:val="22"/>
        </w:rPr>
        <w:t xml:space="preserve"> odnosi se na općinu</w:t>
      </w:r>
      <w:r w:rsidR="00141FB1">
        <w:rPr>
          <w:sz w:val="22"/>
          <w:szCs w:val="22"/>
        </w:rPr>
        <w:t>, do</w:t>
      </w:r>
      <w:r w:rsidR="00073A83">
        <w:rPr>
          <w:sz w:val="22"/>
          <w:szCs w:val="22"/>
        </w:rPr>
        <w:t xml:space="preserve"> smanjenja</w:t>
      </w:r>
      <w:r w:rsidR="00141FB1">
        <w:rPr>
          <w:sz w:val="22"/>
          <w:szCs w:val="22"/>
        </w:rPr>
        <w:t xml:space="preserve"> je došlo jer </w:t>
      </w:r>
      <w:r w:rsidR="00081989">
        <w:rPr>
          <w:sz w:val="22"/>
          <w:szCs w:val="22"/>
        </w:rPr>
        <w:t>je završena katastarska izmjera</w:t>
      </w:r>
      <w:r w:rsidR="00141FB1">
        <w:rPr>
          <w:sz w:val="22"/>
          <w:szCs w:val="22"/>
        </w:rPr>
        <w:t xml:space="preserve"> općine</w:t>
      </w:r>
      <w:r w:rsidR="00B502B3">
        <w:rPr>
          <w:sz w:val="22"/>
          <w:szCs w:val="22"/>
        </w:rPr>
        <w:t xml:space="preserve"> te općina više ne nabavlja uredski materijal za njihove</w:t>
      </w:r>
      <w:r w:rsidR="00141FB1">
        <w:rPr>
          <w:sz w:val="22"/>
          <w:szCs w:val="22"/>
        </w:rPr>
        <w:t xml:space="preserve"> potrebe</w:t>
      </w:r>
      <w:r w:rsidR="00AB7B78">
        <w:rPr>
          <w:sz w:val="22"/>
          <w:szCs w:val="22"/>
        </w:rPr>
        <w:t>, a iznos od</w:t>
      </w:r>
      <w:r w:rsidR="00D95430">
        <w:rPr>
          <w:sz w:val="22"/>
          <w:szCs w:val="22"/>
        </w:rPr>
        <w:t xml:space="preserve"> 30.299,96 kn, odnosi se na proračunskog korisnika i to za nabavu uredskog materijala u iznosu od </w:t>
      </w:r>
      <w:r w:rsidR="00CC2DFE">
        <w:rPr>
          <w:sz w:val="22"/>
          <w:szCs w:val="22"/>
        </w:rPr>
        <w:t>5.804,25 kn, materijal za čišćenje vrtića 7.047,64 kn i ostali materijal u iznosu od 19.276,13 kn</w:t>
      </w:r>
    </w:p>
    <w:p w14:paraId="2D17E07E" w14:textId="477C61C3" w:rsidR="00141FB1" w:rsidRDefault="00F52935" w:rsidP="00141FB1">
      <w:pPr>
        <w:jc w:val="both"/>
        <w:rPr>
          <w:sz w:val="22"/>
          <w:szCs w:val="22"/>
        </w:rPr>
      </w:pPr>
      <w:proofErr w:type="spellStart"/>
      <w:r>
        <w:rPr>
          <w:sz w:val="22"/>
          <w:szCs w:val="22"/>
        </w:rPr>
        <w:lastRenderedPageBreak/>
        <w:t>Cto</w:t>
      </w:r>
      <w:proofErr w:type="spellEnd"/>
      <w:r w:rsidR="00FB7886">
        <w:rPr>
          <w:sz w:val="22"/>
          <w:szCs w:val="22"/>
        </w:rPr>
        <w:t xml:space="preserve"> 3222</w:t>
      </w:r>
      <w:r w:rsidR="00141FB1">
        <w:rPr>
          <w:sz w:val="22"/>
          <w:szCs w:val="22"/>
        </w:rPr>
        <w:t xml:space="preserve"> Materijal i sirovine u iznosu od</w:t>
      </w:r>
      <w:r w:rsidR="007F6D99">
        <w:rPr>
          <w:sz w:val="22"/>
          <w:szCs w:val="22"/>
        </w:rPr>
        <w:t xml:space="preserve"> 61.229,24 kn, iznos od </w:t>
      </w:r>
      <w:r w:rsidR="00141FB1">
        <w:rPr>
          <w:sz w:val="22"/>
          <w:szCs w:val="22"/>
        </w:rPr>
        <w:t xml:space="preserve"> </w:t>
      </w:r>
      <w:r w:rsidR="00FB7886">
        <w:rPr>
          <w:sz w:val="22"/>
          <w:szCs w:val="22"/>
        </w:rPr>
        <w:t>2.499,57 kn</w:t>
      </w:r>
      <w:r w:rsidR="007F6D99">
        <w:rPr>
          <w:sz w:val="22"/>
          <w:szCs w:val="22"/>
        </w:rPr>
        <w:t xml:space="preserve"> odnosi se na općinu</w:t>
      </w:r>
      <w:r w:rsidR="006858B4">
        <w:rPr>
          <w:sz w:val="22"/>
          <w:szCs w:val="22"/>
        </w:rPr>
        <w:t xml:space="preserve">, </w:t>
      </w:r>
      <w:r w:rsidR="00C915A1">
        <w:rPr>
          <w:sz w:val="22"/>
          <w:szCs w:val="22"/>
        </w:rPr>
        <w:t xml:space="preserve"> do smanjenja</w:t>
      </w:r>
      <w:r w:rsidR="007F6D99">
        <w:rPr>
          <w:sz w:val="22"/>
          <w:szCs w:val="22"/>
        </w:rPr>
        <w:t xml:space="preserve"> je došlo</w:t>
      </w:r>
      <w:r w:rsidR="00184C8B">
        <w:rPr>
          <w:sz w:val="22"/>
          <w:szCs w:val="22"/>
        </w:rPr>
        <w:t xml:space="preserve"> </w:t>
      </w:r>
      <w:r w:rsidR="006858B4">
        <w:rPr>
          <w:sz w:val="22"/>
          <w:szCs w:val="22"/>
        </w:rPr>
        <w:t xml:space="preserve">jer je općina u ranijim godinama nabavila više </w:t>
      </w:r>
      <w:r w:rsidR="00141FB1">
        <w:rPr>
          <w:sz w:val="22"/>
          <w:szCs w:val="22"/>
        </w:rPr>
        <w:t xml:space="preserve"> sadnica za groblja i javne površine</w:t>
      </w:r>
      <w:r w:rsidR="007F6D99">
        <w:rPr>
          <w:sz w:val="22"/>
          <w:szCs w:val="22"/>
        </w:rPr>
        <w:t>, dok</w:t>
      </w:r>
      <w:r w:rsidR="00C72064">
        <w:rPr>
          <w:sz w:val="22"/>
          <w:szCs w:val="22"/>
        </w:rPr>
        <w:t xml:space="preserve"> se iznos od </w:t>
      </w:r>
      <w:r w:rsidR="00072E6B">
        <w:rPr>
          <w:sz w:val="22"/>
          <w:szCs w:val="22"/>
        </w:rPr>
        <w:t>58.729,67 kn odnosi na nabavu namirnica za dječji vrtić</w:t>
      </w:r>
    </w:p>
    <w:p w14:paraId="06500A91" w14:textId="6EB09ED5" w:rsidR="00C90A04" w:rsidRDefault="00F52935" w:rsidP="00141FB1">
      <w:pPr>
        <w:jc w:val="both"/>
        <w:rPr>
          <w:sz w:val="22"/>
          <w:szCs w:val="22"/>
        </w:rPr>
      </w:pPr>
      <w:proofErr w:type="spellStart"/>
      <w:r>
        <w:rPr>
          <w:sz w:val="22"/>
          <w:szCs w:val="22"/>
        </w:rPr>
        <w:t>Cto</w:t>
      </w:r>
      <w:proofErr w:type="spellEnd"/>
      <w:r w:rsidR="000F069E">
        <w:rPr>
          <w:sz w:val="22"/>
          <w:szCs w:val="22"/>
        </w:rPr>
        <w:t xml:space="preserve"> 3223 Energija u iznosu od </w:t>
      </w:r>
      <w:r w:rsidR="009C6B95">
        <w:rPr>
          <w:sz w:val="22"/>
          <w:szCs w:val="22"/>
        </w:rPr>
        <w:t xml:space="preserve">260.046,17 kn, iznos od </w:t>
      </w:r>
      <w:r w:rsidR="000F069E">
        <w:rPr>
          <w:sz w:val="22"/>
          <w:szCs w:val="22"/>
        </w:rPr>
        <w:t>201.</w:t>
      </w:r>
      <w:r w:rsidR="00C90A04">
        <w:rPr>
          <w:sz w:val="22"/>
          <w:szCs w:val="22"/>
        </w:rPr>
        <w:t>693,57 kn</w:t>
      </w:r>
      <w:r w:rsidR="009C6B95">
        <w:rPr>
          <w:sz w:val="22"/>
          <w:szCs w:val="22"/>
        </w:rPr>
        <w:t xml:space="preserve"> se odnosi na općinu</w:t>
      </w:r>
      <w:r w:rsidR="00C90A04">
        <w:rPr>
          <w:sz w:val="22"/>
          <w:szCs w:val="22"/>
        </w:rPr>
        <w:t>, do povećanja je došlo zbog povećanja cijena energenata</w:t>
      </w:r>
      <w:r w:rsidR="009C6B95">
        <w:rPr>
          <w:sz w:val="22"/>
          <w:szCs w:val="22"/>
        </w:rPr>
        <w:t>, iznos od 58.352,60 kn odnosi se na proračunskog kori</w:t>
      </w:r>
      <w:r w:rsidR="00A3719F">
        <w:rPr>
          <w:sz w:val="22"/>
          <w:szCs w:val="22"/>
        </w:rPr>
        <w:t>s</w:t>
      </w:r>
      <w:r w:rsidR="009C6B95">
        <w:rPr>
          <w:sz w:val="22"/>
          <w:szCs w:val="22"/>
        </w:rPr>
        <w:t xml:space="preserve">nika za </w:t>
      </w:r>
      <w:r w:rsidR="00A3719F">
        <w:rPr>
          <w:sz w:val="22"/>
          <w:szCs w:val="22"/>
        </w:rPr>
        <w:t>električnu energiju i plin</w:t>
      </w:r>
    </w:p>
    <w:p w14:paraId="107419B8" w14:textId="31892F7A" w:rsidR="00B80395" w:rsidRDefault="00F52935" w:rsidP="00141FB1">
      <w:pPr>
        <w:jc w:val="both"/>
        <w:rPr>
          <w:sz w:val="22"/>
          <w:szCs w:val="22"/>
        </w:rPr>
      </w:pPr>
      <w:proofErr w:type="spellStart"/>
      <w:r>
        <w:rPr>
          <w:sz w:val="22"/>
          <w:szCs w:val="22"/>
        </w:rPr>
        <w:t>Cto</w:t>
      </w:r>
      <w:proofErr w:type="spellEnd"/>
      <w:r w:rsidR="009115E1">
        <w:rPr>
          <w:sz w:val="22"/>
          <w:szCs w:val="22"/>
        </w:rPr>
        <w:t xml:space="preserve"> 3225 Sitni inventar i </w:t>
      </w:r>
      <w:proofErr w:type="spellStart"/>
      <w:r w:rsidR="009115E1">
        <w:rPr>
          <w:sz w:val="22"/>
          <w:szCs w:val="22"/>
        </w:rPr>
        <w:t>autogume</w:t>
      </w:r>
      <w:proofErr w:type="spellEnd"/>
      <w:r w:rsidR="009115E1">
        <w:rPr>
          <w:sz w:val="22"/>
          <w:szCs w:val="22"/>
        </w:rPr>
        <w:t xml:space="preserve"> u iznosu od 8.150,00 kn do smanjenja je došlo jer smo u prošloj godini nabavljali gume za radni stroj-rovokopač koji je u vlasništvu općine</w:t>
      </w:r>
    </w:p>
    <w:p w14:paraId="378D6EF1" w14:textId="5E7CA0A4" w:rsidR="0042044D" w:rsidRDefault="00F52935" w:rsidP="0042044D">
      <w:pPr>
        <w:jc w:val="both"/>
        <w:rPr>
          <w:sz w:val="22"/>
          <w:szCs w:val="22"/>
        </w:rPr>
      </w:pPr>
      <w:proofErr w:type="spellStart"/>
      <w:r>
        <w:rPr>
          <w:sz w:val="22"/>
          <w:szCs w:val="22"/>
        </w:rPr>
        <w:t>Cto</w:t>
      </w:r>
      <w:proofErr w:type="spellEnd"/>
      <w:r w:rsidR="00D37996">
        <w:rPr>
          <w:sz w:val="22"/>
          <w:szCs w:val="22"/>
        </w:rPr>
        <w:t xml:space="preserve"> 3234 Komunalne usluge u iznosu od </w:t>
      </w:r>
      <w:r w:rsidR="004F3A10">
        <w:rPr>
          <w:sz w:val="22"/>
          <w:szCs w:val="22"/>
        </w:rPr>
        <w:t>48.000,28 kn,</w:t>
      </w:r>
      <w:r w:rsidR="0042044D">
        <w:rPr>
          <w:sz w:val="22"/>
          <w:szCs w:val="22"/>
        </w:rPr>
        <w:t xml:space="preserve"> iznos od</w:t>
      </w:r>
      <w:r w:rsidR="004F3A10">
        <w:rPr>
          <w:sz w:val="22"/>
          <w:szCs w:val="22"/>
        </w:rPr>
        <w:t xml:space="preserve"> </w:t>
      </w:r>
      <w:r w:rsidR="00807337">
        <w:rPr>
          <w:sz w:val="22"/>
          <w:szCs w:val="22"/>
        </w:rPr>
        <w:t>36.</w:t>
      </w:r>
      <w:r w:rsidR="000E1BD0">
        <w:rPr>
          <w:sz w:val="22"/>
          <w:szCs w:val="22"/>
        </w:rPr>
        <w:t>788,90 kn</w:t>
      </w:r>
      <w:r w:rsidR="0042044D">
        <w:rPr>
          <w:sz w:val="22"/>
          <w:szCs w:val="22"/>
        </w:rPr>
        <w:t xml:space="preserve"> odnosi se na općinu, a </w:t>
      </w:r>
      <w:r w:rsidR="005C4562">
        <w:rPr>
          <w:sz w:val="22"/>
          <w:szCs w:val="22"/>
        </w:rPr>
        <w:t xml:space="preserve"> do povećanja </w:t>
      </w:r>
      <w:r w:rsidR="00451F34">
        <w:rPr>
          <w:sz w:val="22"/>
          <w:szCs w:val="22"/>
        </w:rPr>
        <w:t>je došlo</w:t>
      </w:r>
      <w:r w:rsidR="00613697">
        <w:rPr>
          <w:sz w:val="22"/>
          <w:szCs w:val="22"/>
        </w:rPr>
        <w:t xml:space="preserve"> zbog povećan</w:t>
      </w:r>
      <w:r w:rsidR="003405CB">
        <w:rPr>
          <w:sz w:val="22"/>
          <w:szCs w:val="22"/>
        </w:rPr>
        <w:t>og obima</w:t>
      </w:r>
      <w:r w:rsidR="00B5385B">
        <w:rPr>
          <w:sz w:val="22"/>
          <w:szCs w:val="22"/>
        </w:rPr>
        <w:t xml:space="preserve"> </w:t>
      </w:r>
      <w:r w:rsidR="000503E9">
        <w:rPr>
          <w:sz w:val="22"/>
          <w:szCs w:val="22"/>
        </w:rPr>
        <w:t>održavanja</w:t>
      </w:r>
      <w:r w:rsidR="00B5385B">
        <w:rPr>
          <w:sz w:val="22"/>
          <w:szCs w:val="22"/>
        </w:rPr>
        <w:t xml:space="preserve"> javnih površina </w:t>
      </w:r>
      <w:r w:rsidR="000503E9">
        <w:rPr>
          <w:sz w:val="22"/>
          <w:szCs w:val="22"/>
        </w:rPr>
        <w:t>uzrokovanih</w:t>
      </w:r>
      <w:r w:rsidR="00B5385B">
        <w:rPr>
          <w:sz w:val="22"/>
          <w:szCs w:val="22"/>
        </w:rPr>
        <w:t xml:space="preserve"> kišni</w:t>
      </w:r>
      <w:r w:rsidR="000503E9">
        <w:rPr>
          <w:sz w:val="22"/>
          <w:szCs w:val="22"/>
        </w:rPr>
        <w:t>m</w:t>
      </w:r>
      <w:r w:rsidR="00B5385B">
        <w:rPr>
          <w:sz w:val="22"/>
          <w:szCs w:val="22"/>
        </w:rPr>
        <w:t xml:space="preserve"> dan</w:t>
      </w:r>
      <w:r w:rsidR="0063274C">
        <w:rPr>
          <w:sz w:val="22"/>
          <w:szCs w:val="22"/>
        </w:rPr>
        <w:t>im</w:t>
      </w:r>
      <w:r w:rsidR="00B5385B">
        <w:rPr>
          <w:sz w:val="22"/>
          <w:szCs w:val="22"/>
        </w:rPr>
        <w:t>a u proljetnim mjesecima</w:t>
      </w:r>
      <w:r w:rsidR="00337F33">
        <w:rPr>
          <w:sz w:val="22"/>
          <w:szCs w:val="22"/>
        </w:rPr>
        <w:t xml:space="preserve">, </w:t>
      </w:r>
      <w:r w:rsidR="0042044D" w:rsidRPr="0042044D">
        <w:rPr>
          <w:sz w:val="22"/>
          <w:szCs w:val="22"/>
        </w:rPr>
        <w:t xml:space="preserve"> </w:t>
      </w:r>
      <w:r w:rsidR="0042044D">
        <w:rPr>
          <w:sz w:val="22"/>
          <w:szCs w:val="22"/>
        </w:rPr>
        <w:t>a iznos od 11.211,38 kn odnosi na proračunskog korisnika</w:t>
      </w:r>
      <w:r w:rsidR="00337F33">
        <w:rPr>
          <w:sz w:val="22"/>
          <w:szCs w:val="22"/>
        </w:rPr>
        <w:t xml:space="preserve"> za troškove vode, i odvoza smeća</w:t>
      </w:r>
    </w:p>
    <w:p w14:paraId="23AE7DA2" w14:textId="7C5EA6D1" w:rsidR="00EB110C" w:rsidRDefault="002B7BFC" w:rsidP="00141FB1">
      <w:pPr>
        <w:jc w:val="both"/>
        <w:rPr>
          <w:sz w:val="22"/>
          <w:szCs w:val="22"/>
        </w:rPr>
      </w:pPr>
      <w:proofErr w:type="spellStart"/>
      <w:r>
        <w:rPr>
          <w:sz w:val="22"/>
          <w:szCs w:val="22"/>
        </w:rPr>
        <w:t>Cto</w:t>
      </w:r>
      <w:proofErr w:type="spellEnd"/>
      <w:r w:rsidR="00D734DC">
        <w:rPr>
          <w:sz w:val="22"/>
          <w:szCs w:val="22"/>
        </w:rPr>
        <w:t xml:space="preserve"> 3236 Zdravstvene i veterinarske usluge u iznosu od 16.773,98 kn, na općinu se odnosi iznos od 9.543,98 kn na veterinarske usluge i zbrinjavanje </w:t>
      </w:r>
      <w:r w:rsidR="000E01A4">
        <w:rPr>
          <w:sz w:val="22"/>
          <w:szCs w:val="22"/>
        </w:rPr>
        <w:t>životinja, a iznos od 7.230,00</w:t>
      </w:r>
      <w:r w:rsidR="003E2474">
        <w:rPr>
          <w:sz w:val="22"/>
          <w:szCs w:val="22"/>
        </w:rPr>
        <w:t xml:space="preserve"> kn</w:t>
      </w:r>
      <w:r w:rsidR="000E01A4">
        <w:rPr>
          <w:sz w:val="22"/>
          <w:szCs w:val="22"/>
        </w:rPr>
        <w:t xml:space="preserve"> odnosi se na proračunskog korisnika za obvezne zdravstvene preglede zaposlenika</w:t>
      </w:r>
    </w:p>
    <w:p w14:paraId="1223FF4A" w14:textId="646598A8" w:rsidR="003E2474" w:rsidRDefault="002B7BFC" w:rsidP="00141FB1">
      <w:pPr>
        <w:jc w:val="both"/>
        <w:rPr>
          <w:sz w:val="22"/>
          <w:szCs w:val="22"/>
        </w:rPr>
      </w:pPr>
      <w:proofErr w:type="spellStart"/>
      <w:r>
        <w:rPr>
          <w:sz w:val="22"/>
          <w:szCs w:val="22"/>
        </w:rPr>
        <w:t>Cto</w:t>
      </w:r>
      <w:proofErr w:type="spellEnd"/>
      <w:r w:rsidR="003E2474">
        <w:rPr>
          <w:sz w:val="22"/>
          <w:szCs w:val="22"/>
        </w:rPr>
        <w:t xml:space="preserve"> 3237 Intelektualne i osobne usluge u iznosu od 104.072,31 kn, </w:t>
      </w:r>
      <w:r w:rsidR="00CE6E41">
        <w:rPr>
          <w:sz w:val="22"/>
          <w:szCs w:val="22"/>
        </w:rPr>
        <w:t xml:space="preserve">iznos </w:t>
      </w:r>
      <w:r w:rsidR="002C44A7">
        <w:rPr>
          <w:sz w:val="22"/>
          <w:szCs w:val="22"/>
        </w:rPr>
        <w:t xml:space="preserve">od 89.072,31 kn odnosi se na općinu, dok se 15.000,00 kn odnosi na proračunskog korisnika za </w:t>
      </w:r>
      <w:r w:rsidR="007B6784">
        <w:rPr>
          <w:sz w:val="22"/>
          <w:szCs w:val="22"/>
        </w:rPr>
        <w:t>usluge savjetovanja iz područja javne nabave</w:t>
      </w:r>
    </w:p>
    <w:p w14:paraId="51B79CC9" w14:textId="2A2DADCB" w:rsidR="00141FB1" w:rsidRDefault="000969BF" w:rsidP="00141FB1">
      <w:pPr>
        <w:jc w:val="both"/>
        <w:rPr>
          <w:sz w:val="22"/>
          <w:szCs w:val="22"/>
        </w:rPr>
      </w:pPr>
      <w:proofErr w:type="spellStart"/>
      <w:r>
        <w:rPr>
          <w:sz w:val="22"/>
          <w:szCs w:val="22"/>
        </w:rPr>
        <w:t>Cto</w:t>
      </w:r>
      <w:proofErr w:type="spellEnd"/>
      <w:r w:rsidR="00A53C22">
        <w:rPr>
          <w:sz w:val="22"/>
          <w:szCs w:val="22"/>
        </w:rPr>
        <w:t xml:space="preserve"> 3291 Naknade za rad predstavničkih i izvršnih tijela povjerenstava i slično u iznosu od </w:t>
      </w:r>
      <w:r w:rsidR="002020B3">
        <w:rPr>
          <w:sz w:val="22"/>
          <w:szCs w:val="22"/>
        </w:rPr>
        <w:t>6.286,04 kn</w:t>
      </w:r>
      <w:r w:rsidR="00EA5EED">
        <w:rPr>
          <w:sz w:val="22"/>
          <w:szCs w:val="22"/>
        </w:rPr>
        <w:t>, do smanjenja je došlo jer su u prethodnoj godini bili izbori za</w:t>
      </w:r>
      <w:r w:rsidR="00D75E7D">
        <w:rPr>
          <w:sz w:val="22"/>
          <w:szCs w:val="22"/>
        </w:rPr>
        <w:t xml:space="preserve"> izvršna i predstavnička tijela općine i županije</w:t>
      </w:r>
    </w:p>
    <w:p w14:paraId="78CC5C9D" w14:textId="6DD1838D" w:rsidR="00141FB1" w:rsidRDefault="000969BF" w:rsidP="00141FB1">
      <w:pPr>
        <w:jc w:val="both"/>
        <w:rPr>
          <w:sz w:val="22"/>
          <w:szCs w:val="22"/>
        </w:rPr>
      </w:pPr>
      <w:proofErr w:type="spellStart"/>
      <w:r>
        <w:rPr>
          <w:sz w:val="22"/>
          <w:szCs w:val="22"/>
        </w:rPr>
        <w:t>Cto</w:t>
      </w:r>
      <w:proofErr w:type="spellEnd"/>
      <w:r w:rsidR="00C4372C">
        <w:rPr>
          <w:sz w:val="22"/>
          <w:szCs w:val="22"/>
        </w:rPr>
        <w:t xml:space="preserve"> 3295 Pristojbe i naknade u iznosu od 16.367,67 kn, odnosi se na plaćanje </w:t>
      </w:r>
      <w:r w:rsidR="00F02426">
        <w:rPr>
          <w:sz w:val="22"/>
          <w:szCs w:val="22"/>
        </w:rPr>
        <w:t>naknadu za zbrinjavanje komunalnog otpada i troškove gospodarenja komunalnog otpada</w:t>
      </w:r>
      <w:r w:rsidR="00C733D4">
        <w:rPr>
          <w:sz w:val="22"/>
          <w:szCs w:val="22"/>
        </w:rPr>
        <w:t>-</w:t>
      </w:r>
      <w:r w:rsidR="00F02426">
        <w:rPr>
          <w:sz w:val="22"/>
          <w:szCs w:val="22"/>
        </w:rPr>
        <w:t xml:space="preserve"> novi trošak</w:t>
      </w:r>
    </w:p>
    <w:p w14:paraId="4D7596A9" w14:textId="34F5B7EE" w:rsidR="003D402E" w:rsidRDefault="000969BF" w:rsidP="00141FB1">
      <w:pPr>
        <w:jc w:val="both"/>
        <w:rPr>
          <w:sz w:val="22"/>
          <w:szCs w:val="22"/>
        </w:rPr>
      </w:pPr>
      <w:proofErr w:type="spellStart"/>
      <w:r>
        <w:rPr>
          <w:sz w:val="22"/>
          <w:szCs w:val="22"/>
        </w:rPr>
        <w:t>Cto</w:t>
      </w:r>
      <w:proofErr w:type="spellEnd"/>
      <w:r w:rsidR="00C733D4">
        <w:rPr>
          <w:sz w:val="22"/>
          <w:szCs w:val="22"/>
        </w:rPr>
        <w:t xml:space="preserve"> 3422 Kamate za primljene kredite i zajmove u iznosu od 137.</w:t>
      </w:r>
      <w:r w:rsidR="00FB46E4">
        <w:rPr>
          <w:sz w:val="22"/>
          <w:szCs w:val="22"/>
        </w:rPr>
        <w:t xml:space="preserve">929,93 kn, </w:t>
      </w:r>
      <w:r w:rsidR="00542AAC">
        <w:rPr>
          <w:sz w:val="22"/>
          <w:szCs w:val="22"/>
        </w:rPr>
        <w:t>o</w:t>
      </w:r>
      <w:r w:rsidR="00FB46E4">
        <w:rPr>
          <w:sz w:val="22"/>
          <w:szCs w:val="22"/>
        </w:rPr>
        <w:t>dnosi se na kamate</w:t>
      </w:r>
      <w:r w:rsidR="00542AAC">
        <w:rPr>
          <w:sz w:val="22"/>
          <w:szCs w:val="22"/>
        </w:rPr>
        <w:t xml:space="preserve"> </w:t>
      </w:r>
      <w:r w:rsidR="00E801DE">
        <w:rPr>
          <w:sz w:val="22"/>
          <w:szCs w:val="22"/>
        </w:rPr>
        <w:t xml:space="preserve"> po kratkoročnom kreditu za  smanjene prihode</w:t>
      </w:r>
      <w:r w:rsidR="000209A3">
        <w:rPr>
          <w:sz w:val="22"/>
          <w:szCs w:val="22"/>
        </w:rPr>
        <w:t xml:space="preserve"> (</w:t>
      </w:r>
      <w:proofErr w:type="spellStart"/>
      <w:r w:rsidR="000209A3">
        <w:rPr>
          <w:sz w:val="22"/>
          <w:szCs w:val="22"/>
        </w:rPr>
        <w:t>cash</w:t>
      </w:r>
      <w:proofErr w:type="spellEnd"/>
      <w:r w:rsidR="000209A3">
        <w:rPr>
          <w:sz w:val="22"/>
          <w:szCs w:val="22"/>
        </w:rPr>
        <w:t xml:space="preserve"> </w:t>
      </w:r>
      <w:proofErr w:type="spellStart"/>
      <w:r w:rsidR="000209A3">
        <w:rPr>
          <w:sz w:val="22"/>
          <w:szCs w:val="22"/>
        </w:rPr>
        <w:t>pool</w:t>
      </w:r>
      <w:proofErr w:type="spellEnd"/>
      <w:r w:rsidR="000209A3">
        <w:rPr>
          <w:sz w:val="22"/>
          <w:szCs w:val="22"/>
        </w:rPr>
        <w:t>)- 29.881,80 kn, za katastarsku izmjeru-</w:t>
      </w:r>
      <w:r w:rsidR="003D402E">
        <w:rPr>
          <w:sz w:val="22"/>
          <w:szCs w:val="22"/>
        </w:rPr>
        <w:t xml:space="preserve">12.818,64 kn i za izgradnju </w:t>
      </w:r>
      <w:proofErr w:type="spellStart"/>
      <w:r w:rsidR="003D402E">
        <w:rPr>
          <w:sz w:val="22"/>
          <w:szCs w:val="22"/>
        </w:rPr>
        <w:t>dj</w:t>
      </w:r>
      <w:proofErr w:type="spellEnd"/>
      <w:r w:rsidR="003D402E">
        <w:rPr>
          <w:sz w:val="22"/>
          <w:szCs w:val="22"/>
        </w:rPr>
        <w:t xml:space="preserve">. </w:t>
      </w:r>
      <w:r w:rsidR="00E230E7">
        <w:rPr>
          <w:sz w:val="22"/>
          <w:szCs w:val="22"/>
        </w:rPr>
        <w:t>v</w:t>
      </w:r>
      <w:r w:rsidR="003D402E">
        <w:rPr>
          <w:sz w:val="22"/>
          <w:szCs w:val="22"/>
        </w:rPr>
        <w:t>rtića- 95.229,49 kn</w:t>
      </w:r>
    </w:p>
    <w:p w14:paraId="33B457A3" w14:textId="0F970607" w:rsidR="007B52F2" w:rsidRDefault="000969BF" w:rsidP="00141FB1">
      <w:pPr>
        <w:jc w:val="both"/>
        <w:rPr>
          <w:sz w:val="22"/>
          <w:szCs w:val="22"/>
        </w:rPr>
      </w:pPr>
      <w:proofErr w:type="spellStart"/>
      <w:r>
        <w:rPr>
          <w:sz w:val="22"/>
          <w:szCs w:val="22"/>
        </w:rPr>
        <w:t>Cto</w:t>
      </w:r>
      <w:proofErr w:type="spellEnd"/>
      <w:r w:rsidR="00563C86">
        <w:rPr>
          <w:sz w:val="22"/>
          <w:szCs w:val="22"/>
        </w:rPr>
        <w:t xml:space="preserve"> 3434 Ostali nespomenuti financijski rashodi u iznosu od</w:t>
      </w:r>
      <w:r w:rsidR="00793BCF">
        <w:rPr>
          <w:sz w:val="22"/>
          <w:szCs w:val="22"/>
        </w:rPr>
        <w:t xml:space="preserve"> </w:t>
      </w:r>
      <w:r w:rsidR="000B451C">
        <w:rPr>
          <w:sz w:val="22"/>
          <w:szCs w:val="22"/>
        </w:rPr>
        <w:t xml:space="preserve">25.571,00 kn, iznos od </w:t>
      </w:r>
      <w:r w:rsidR="00563C86">
        <w:rPr>
          <w:sz w:val="22"/>
          <w:szCs w:val="22"/>
        </w:rPr>
        <w:t xml:space="preserve"> 25.</w:t>
      </w:r>
      <w:r w:rsidR="00BB48A7">
        <w:rPr>
          <w:sz w:val="22"/>
          <w:szCs w:val="22"/>
        </w:rPr>
        <w:t>423,50 kn, odnosi se</w:t>
      </w:r>
      <w:r w:rsidR="00293B4E">
        <w:rPr>
          <w:sz w:val="22"/>
          <w:szCs w:val="22"/>
        </w:rPr>
        <w:t xml:space="preserve"> nagrade učenicima za postignuća i nagrade učenicima generacije</w:t>
      </w:r>
      <w:r w:rsidR="000B451C">
        <w:rPr>
          <w:sz w:val="22"/>
          <w:szCs w:val="22"/>
        </w:rPr>
        <w:t>, dok se iznos od 147,50 kn odnosi na pror</w:t>
      </w:r>
      <w:r w:rsidR="00793BCF">
        <w:rPr>
          <w:sz w:val="22"/>
          <w:szCs w:val="22"/>
        </w:rPr>
        <w:t>a</w:t>
      </w:r>
      <w:r w:rsidR="000B451C">
        <w:rPr>
          <w:sz w:val="22"/>
          <w:szCs w:val="22"/>
        </w:rPr>
        <w:t>čunskog korisnika</w:t>
      </w:r>
    </w:p>
    <w:p w14:paraId="3D72379A" w14:textId="0C881AB9" w:rsidR="00141FB1" w:rsidRDefault="000969BF" w:rsidP="00141FB1">
      <w:pPr>
        <w:jc w:val="both"/>
        <w:rPr>
          <w:sz w:val="22"/>
          <w:szCs w:val="22"/>
        </w:rPr>
      </w:pPr>
      <w:proofErr w:type="spellStart"/>
      <w:r>
        <w:rPr>
          <w:sz w:val="22"/>
          <w:szCs w:val="22"/>
        </w:rPr>
        <w:t>Cto</w:t>
      </w:r>
      <w:proofErr w:type="spellEnd"/>
      <w:r w:rsidR="00FF1719">
        <w:rPr>
          <w:sz w:val="22"/>
          <w:szCs w:val="22"/>
        </w:rPr>
        <w:t xml:space="preserve"> 3523 Subvencije poljoprivrednicima i obrtnicima u iznosu od 504,11 kn</w:t>
      </w:r>
      <w:r w:rsidR="00F04534">
        <w:rPr>
          <w:sz w:val="22"/>
          <w:szCs w:val="22"/>
        </w:rPr>
        <w:t>, do smanjenja je došlo jer općina u ovoj godini nije isplaćivala gospodarstvenic</w:t>
      </w:r>
      <w:r w:rsidR="00887D50">
        <w:rPr>
          <w:sz w:val="22"/>
          <w:szCs w:val="22"/>
        </w:rPr>
        <w:t>i</w:t>
      </w:r>
      <w:r w:rsidR="00F04534">
        <w:rPr>
          <w:sz w:val="22"/>
          <w:szCs w:val="22"/>
        </w:rPr>
        <w:t>ma</w:t>
      </w:r>
      <w:r w:rsidR="00C079C5">
        <w:rPr>
          <w:sz w:val="22"/>
          <w:szCs w:val="22"/>
        </w:rPr>
        <w:t xml:space="preserve"> pomoć</w:t>
      </w:r>
      <w:r w:rsidR="00887D50">
        <w:rPr>
          <w:sz w:val="22"/>
          <w:szCs w:val="22"/>
        </w:rPr>
        <w:t xml:space="preserve">, a </w:t>
      </w:r>
      <w:r w:rsidR="00184C8B">
        <w:rPr>
          <w:sz w:val="22"/>
          <w:szCs w:val="22"/>
        </w:rPr>
        <w:t xml:space="preserve"> u </w:t>
      </w:r>
      <w:r w:rsidR="00887D50">
        <w:rPr>
          <w:sz w:val="22"/>
          <w:szCs w:val="22"/>
        </w:rPr>
        <w:t>prethodn</w:t>
      </w:r>
      <w:r w:rsidR="00184C8B">
        <w:rPr>
          <w:sz w:val="22"/>
          <w:szCs w:val="22"/>
        </w:rPr>
        <w:t>oj godini su isplaćena sredstva pomoći zbog pandemije</w:t>
      </w:r>
    </w:p>
    <w:p w14:paraId="1AE1D560" w14:textId="6840202B" w:rsidR="00C079C5" w:rsidRDefault="00B66A06" w:rsidP="00141FB1">
      <w:pPr>
        <w:jc w:val="both"/>
        <w:rPr>
          <w:sz w:val="22"/>
          <w:szCs w:val="22"/>
        </w:rPr>
      </w:pPr>
      <w:proofErr w:type="spellStart"/>
      <w:r>
        <w:rPr>
          <w:sz w:val="22"/>
          <w:szCs w:val="22"/>
        </w:rPr>
        <w:t>Cto</w:t>
      </w:r>
      <w:proofErr w:type="spellEnd"/>
      <w:r w:rsidR="00C079C5">
        <w:rPr>
          <w:sz w:val="22"/>
          <w:szCs w:val="22"/>
        </w:rPr>
        <w:t xml:space="preserve"> 3632 Kapitalne pomoći unutar općeg proračuna u iznosu od </w:t>
      </w:r>
      <w:r w:rsidR="00AC0863">
        <w:rPr>
          <w:sz w:val="22"/>
          <w:szCs w:val="22"/>
        </w:rPr>
        <w:t>278.285,39 kn, do smanjenja je došlo</w:t>
      </w:r>
      <w:r w:rsidR="005C20C7">
        <w:rPr>
          <w:sz w:val="22"/>
          <w:szCs w:val="22"/>
        </w:rPr>
        <w:t xml:space="preserve"> zbog završetka radova na izgradnji Osnovne škole u Svetom Iliji za koje nam je slalo račune Ministarstvo znanosti i obrazovanja</w:t>
      </w:r>
    </w:p>
    <w:p w14:paraId="4979FF6D" w14:textId="37A5471A" w:rsidR="007D0D3A" w:rsidRDefault="00B66A06" w:rsidP="00141FB1">
      <w:pPr>
        <w:jc w:val="both"/>
        <w:rPr>
          <w:sz w:val="22"/>
          <w:szCs w:val="22"/>
        </w:rPr>
      </w:pPr>
      <w:proofErr w:type="spellStart"/>
      <w:r>
        <w:rPr>
          <w:sz w:val="22"/>
          <w:szCs w:val="22"/>
        </w:rPr>
        <w:t>Cto</w:t>
      </w:r>
      <w:proofErr w:type="spellEnd"/>
      <w:r w:rsidR="007D0D3A">
        <w:rPr>
          <w:sz w:val="22"/>
          <w:szCs w:val="22"/>
        </w:rPr>
        <w:t xml:space="preserve"> 367 Prijenosi proračunskom korisniku u iznosu od 342.894,96 kn, odnosi se na redovno financiranje dječjeg vrtića u Beletincu</w:t>
      </w:r>
      <w:r w:rsidR="00C34C09">
        <w:rPr>
          <w:sz w:val="22"/>
          <w:szCs w:val="22"/>
        </w:rPr>
        <w:t xml:space="preserve"> koji je otvoren prošlu godinu</w:t>
      </w:r>
    </w:p>
    <w:p w14:paraId="029327B6" w14:textId="5740B519" w:rsidR="00B85582" w:rsidRDefault="00B66A06" w:rsidP="00141FB1">
      <w:pPr>
        <w:jc w:val="both"/>
        <w:rPr>
          <w:sz w:val="22"/>
          <w:szCs w:val="22"/>
        </w:rPr>
      </w:pPr>
      <w:proofErr w:type="spellStart"/>
      <w:r>
        <w:rPr>
          <w:sz w:val="22"/>
          <w:szCs w:val="22"/>
        </w:rPr>
        <w:t>Cto</w:t>
      </w:r>
      <w:proofErr w:type="spellEnd"/>
      <w:r w:rsidR="00181F6E">
        <w:rPr>
          <w:sz w:val="22"/>
          <w:szCs w:val="22"/>
        </w:rPr>
        <w:t xml:space="preserve"> </w:t>
      </w:r>
      <w:r w:rsidR="00B85582">
        <w:rPr>
          <w:sz w:val="22"/>
          <w:szCs w:val="22"/>
        </w:rPr>
        <w:t>3722</w:t>
      </w:r>
      <w:r w:rsidR="002E296D">
        <w:rPr>
          <w:sz w:val="22"/>
          <w:szCs w:val="22"/>
        </w:rPr>
        <w:t xml:space="preserve"> </w:t>
      </w:r>
      <w:r w:rsidR="00B85582">
        <w:rPr>
          <w:sz w:val="22"/>
          <w:szCs w:val="22"/>
        </w:rPr>
        <w:t>Naknade građenima i kućanstvima u naravi u iznosu od 417.247,41 kn, odnosi se na sufin</w:t>
      </w:r>
      <w:r w:rsidR="00181F6E">
        <w:rPr>
          <w:sz w:val="22"/>
          <w:szCs w:val="22"/>
        </w:rPr>
        <w:t>anciranje školske kuhinje u iznosu od</w:t>
      </w:r>
      <w:r w:rsidR="00A2395A">
        <w:rPr>
          <w:sz w:val="22"/>
          <w:szCs w:val="22"/>
        </w:rPr>
        <w:t xml:space="preserve"> 4.122,41 kn, mala škola u iznosu od 23.450,00 kn i sufinanciranje dječjeg vrtića u iznosu od</w:t>
      </w:r>
      <w:r w:rsidR="002E296D">
        <w:rPr>
          <w:sz w:val="22"/>
          <w:szCs w:val="22"/>
        </w:rPr>
        <w:t xml:space="preserve"> 389.675,00 kn</w:t>
      </w:r>
    </w:p>
    <w:p w14:paraId="3657EE43" w14:textId="3D7F8A10" w:rsidR="00141FB1" w:rsidRDefault="00F2395C" w:rsidP="00141FB1">
      <w:pPr>
        <w:jc w:val="both"/>
        <w:rPr>
          <w:sz w:val="22"/>
          <w:szCs w:val="22"/>
        </w:rPr>
      </w:pPr>
      <w:proofErr w:type="spellStart"/>
      <w:r>
        <w:rPr>
          <w:sz w:val="22"/>
          <w:szCs w:val="22"/>
        </w:rPr>
        <w:t>Cto</w:t>
      </w:r>
      <w:proofErr w:type="spellEnd"/>
      <w:r w:rsidR="004938C9">
        <w:rPr>
          <w:sz w:val="22"/>
          <w:szCs w:val="22"/>
        </w:rPr>
        <w:t xml:space="preserve"> 7</w:t>
      </w:r>
      <w:r w:rsidR="00DE498F">
        <w:rPr>
          <w:sz w:val="22"/>
          <w:szCs w:val="22"/>
        </w:rPr>
        <w:t>211</w:t>
      </w:r>
      <w:r w:rsidR="00141FB1">
        <w:rPr>
          <w:sz w:val="22"/>
          <w:szCs w:val="22"/>
        </w:rPr>
        <w:t xml:space="preserve"> Stambeni objekti u iznosu od </w:t>
      </w:r>
      <w:r w:rsidR="00DE498F">
        <w:rPr>
          <w:sz w:val="22"/>
          <w:szCs w:val="22"/>
        </w:rPr>
        <w:t xml:space="preserve">236.417,46 kn, odnosi se na prodaju </w:t>
      </w:r>
      <w:proofErr w:type="spellStart"/>
      <w:r w:rsidR="00DE498F">
        <w:rPr>
          <w:sz w:val="22"/>
          <w:szCs w:val="22"/>
        </w:rPr>
        <w:t>ošasne</w:t>
      </w:r>
      <w:proofErr w:type="spellEnd"/>
      <w:r w:rsidR="00DE498F">
        <w:rPr>
          <w:sz w:val="22"/>
          <w:szCs w:val="22"/>
        </w:rPr>
        <w:t xml:space="preserve"> imovine</w:t>
      </w:r>
      <w:r w:rsidR="00AF6906">
        <w:rPr>
          <w:sz w:val="22"/>
          <w:szCs w:val="22"/>
        </w:rPr>
        <w:t xml:space="preserve"> (stambene kuće ) dobivene </w:t>
      </w:r>
      <w:proofErr w:type="spellStart"/>
      <w:r w:rsidR="00AF6906">
        <w:rPr>
          <w:sz w:val="22"/>
          <w:szCs w:val="22"/>
        </w:rPr>
        <w:t>ošasnom</w:t>
      </w:r>
      <w:proofErr w:type="spellEnd"/>
      <w:r w:rsidR="00AF6906">
        <w:rPr>
          <w:sz w:val="22"/>
          <w:szCs w:val="22"/>
        </w:rPr>
        <w:t xml:space="preserve"> imovinom</w:t>
      </w:r>
    </w:p>
    <w:p w14:paraId="10F6490C" w14:textId="0CF7FA0B" w:rsidR="00653951" w:rsidRDefault="00302746" w:rsidP="00141FB1">
      <w:pPr>
        <w:jc w:val="both"/>
        <w:rPr>
          <w:sz w:val="22"/>
          <w:szCs w:val="22"/>
        </w:rPr>
      </w:pPr>
      <w:r>
        <w:rPr>
          <w:sz w:val="22"/>
          <w:szCs w:val="22"/>
        </w:rPr>
        <w:t xml:space="preserve">Šifra 4212 Poslovni objekti u iznosu od 86.980,65 kn, odnosi se na </w:t>
      </w:r>
      <w:r w:rsidR="00744DA9">
        <w:rPr>
          <w:sz w:val="22"/>
          <w:szCs w:val="22"/>
        </w:rPr>
        <w:t xml:space="preserve">rekonstrukciju društvenog doma u </w:t>
      </w:r>
      <w:proofErr w:type="spellStart"/>
      <w:r w:rsidR="00744DA9">
        <w:rPr>
          <w:sz w:val="22"/>
          <w:szCs w:val="22"/>
        </w:rPr>
        <w:t>Tomaševcu</w:t>
      </w:r>
      <w:proofErr w:type="spellEnd"/>
      <w:r w:rsidR="00744DA9">
        <w:rPr>
          <w:sz w:val="22"/>
          <w:szCs w:val="22"/>
        </w:rPr>
        <w:t xml:space="preserve"> B. u iznosu od 56.980,65 kn,. izrada projektne dok, na domu u Križancu </w:t>
      </w:r>
      <w:r w:rsidR="00653951">
        <w:rPr>
          <w:sz w:val="22"/>
          <w:szCs w:val="22"/>
        </w:rPr>
        <w:t>–</w:t>
      </w:r>
      <w:r w:rsidR="00744DA9">
        <w:rPr>
          <w:sz w:val="22"/>
          <w:szCs w:val="22"/>
        </w:rPr>
        <w:t xml:space="preserve"> </w:t>
      </w:r>
      <w:r w:rsidR="00653951">
        <w:rPr>
          <w:sz w:val="22"/>
          <w:szCs w:val="22"/>
        </w:rPr>
        <w:t>8.750,00 kn i idejno rješenje za uređenje etno kuće u Beletincu – 21.250,00 kn</w:t>
      </w:r>
      <w:r w:rsidR="0098637C">
        <w:rPr>
          <w:sz w:val="22"/>
          <w:szCs w:val="22"/>
        </w:rPr>
        <w:t xml:space="preserve">, u prethodnoj godini  je izgrađen </w:t>
      </w:r>
      <w:proofErr w:type="spellStart"/>
      <w:r w:rsidR="0098637C">
        <w:rPr>
          <w:sz w:val="22"/>
          <w:szCs w:val="22"/>
        </w:rPr>
        <w:t>dj</w:t>
      </w:r>
      <w:proofErr w:type="spellEnd"/>
      <w:r w:rsidR="0098637C">
        <w:rPr>
          <w:sz w:val="22"/>
          <w:szCs w:val="22"/>
        </w:rPr>
        <w:t xml:space="preserve">. </w:t>
      </w:r>
      <w:r w:rsidR="00F1744B">
        <w:rPr>
          <w:sz w:val="22"/>
          <w:szCs w:val="22"/>
        </w:rPr>
        <w:t>v</w:t>
      </w:r>
      <w:r w:rsidR="0098637C">
        <w:rPr>
          <w:sz w:val="22"/>
          <w:szCs w:val="22"/>
        </w:rPr>
        <w:t xml:space="preserve">rtić stoga su </w:t>
      </w:r>
      <w:r w:rsidR="00F1744B">
        <w:rPr>
          <w:sz w:val="22"/>
          <w:szCs w:val="22"/>
        </w:rPr>
        <w:t>bili veći troškovi</w:t>
      </w:r>
    </w:p>
    <w:p w14:paraId="0021C6B5" w14:textId="72B7F19B" w:rsidR="00815A12" w:rsidRDefault="007142A2" w:rsidP="00815A12">
      <w:pPr>
        <w:jc w:val="both"/>
        <w:rPr>
          <w:sz w:val="22"/>
          <w:szCs w:val="22"/>
        </w:rPr>
      </w:pPr>
      <w:proofErr w:type="spellStart"/>
      <w:r>
        <w:rPr>
          <w:sz w:val="22"/>
          <w:szCs w:val="22"/>
        </w:rPr>
        <w:t>Cto</w:t>
      </w:r>
      <w:proofErr w:type="spellEnd"/>
      <w:r w:rsidR="00D5451D">
        <w:rPr>
          <w:sz w:val="22"/>
          <w:szCs w:val="22"/>
        </w:rPr>
        <w:t xml:space="preserve"> 4213 Ceste, ostali prometni objekti u iznosu od 5.856,25 kn, odnosi se na turističke table i oglasne ploče za </w:t>
      </w:r>
      <w:r w:rsidR="00815A12">
        <w:rPr>
          <w:sz w:val="22"/>
          <w:szCs w:val="22"/>
        </w:rPr>
        <w:t>naselja</w:t>
      </w:r>
    </w:p>
    <w:p w14:paraId="1F9CA2B3" w14:textId="220ED099" w:rsidR="009F36A3" w:rsidRDefault="007142A2" w:rsidP="00141FB1">
      <w:pPr>
        <w:jc w:val="both"/>
        <w:rPr>
          <w:sz w:val="22"/>
          <w:szCs w:val="22"/>
        </w:rPr>
      </w:pPr>
      <w:proofErr w:type="spellStart"/>
      <w:r>
        <w:rPr>
          <w:sz w:val="22"/>
          <w:szCs w:val="22"/>
        </w:rPr>
        <w:t>Cto</w:t>
      </w:r>
      <w:proofErr w:type="spellEnd"/>
      <w:r>
        <w:rPr>
          <w:sz w:val="22"/>
          <w:szCs w:val="22"/>
        </w:rPr>
        <w:t xml:space="preserve"> </w:t>
      </w:r>
      <w:r w:rsidR="00953810">
        <w:rPr>
          <w:sz w:val="22"/>
          <w:szCs w:val="22"/>
        </w:rPr>
        <w:t xml:space="preserve">4221 Uredska </w:t>
      </w:r>
      <w:r w:rsidR="009F36A3">
        <w:rPr>
          <w:sz w:val="22"/>
          <w:szCs w:val="22"/>
        </w:rPr>
        <w:t>oprema i namještaj, u prethodnoj godini smo imali troškove zbog nabave opreme za novoizgrađeni dječji vrtić u Beletincu</w:t>
      </w:r>
      <w:r w:rsidR="00864C2F">
        <w:rPr>
          <w:sz w:val="22"/>
          <w:szCs w:val="22"/>
        </w:rPr>
        <w:t xml:space="preserve">, a iznos od </w:t>
      </w:r>
      <w:r w:rsidR="009029CB">
        <w:rPr>
          <w:sz w:val="22"/>
          <w:szCs w:val="22"/>
        </w:rPr>
        <w:t>6.487,50 kn odnosi se na nabavu prijenosnog računa za proračunskog korisnika</w:t>
      </w:r>
    </w:p>
    <w:p w14:paraId="330C7AB8" w14:textId="0B781E44" w:rsidR="00C3181A" w:rsidRDefault="00111259" w:rsidP="00141FB1">
      <w:pPr>
        <w:jc w:val="both"/>
        <w:rPr>
          <w:sz w:val="22"/>
          <w:szCs w:val="22"/>
        </w:rPr>
      </w:pPr>
      <w:proofErr w:type="spellStart"/>
      <w:r>
        <w:rPr>
          <w:sz w:val="22"/>
          <w:szCs w:val="22"/>
        </w:rPr>
        <w:t>Cto</w:t>
      </w:r>
      <w:proofErr w:type="spellEnd"/>
      <w:r w:rsidR="00F440C6">
        <w:rPr>
          <w:sz w:val="22"/>
          <w:szCs w:val="22"/>
        </w:rPr>
        <w:t xml:space="preserve"> 4222 </w:t>
      </w:r>
      <w:r w:rsidR="00AB5AB8">
        <w:rPr>
          <w:sz w:val="22"/>
          <w:szCs w:val="22"/>
        </w:rPr>
        <w:t xml:space="preserve">Komunikacijska </w:t>
      </w:r>
      <w:r w:rsidR="00F440C6">
        <w:rPr>
          <w:sz w:val="22"/>
          <w:szCs w:val="22"/>
        </w:rPr>
        <w:t>oprema</w:t>
      </w:r>
      <w:r w:rsidR="00C3181A">
        <w:rPr>
          <w:sz w:val="22"/>
          <w:szCs w:val="22"/>
        </w:rPr>
        <w:t>,</w:t>
      </w:r>
      <w:r w:rsidR="00AB5AB8">
        <w:rPr>
          <w:sz w:val="22"/>
          <w:szCs w:val="22"/>
        </w:rPr>
        <w:t xml:space="preserve"> u prethodnoj godini smo nabavili </w:t>
      </w:r>
      <w:r w:rsidR="00C3181A">
        <w:rPr>
          <w:sz w:val="22"/>
          <w:szCs w:val="22"/>
        </w:rPr>
        <w:t>LED tv za društvene domove u općinskom vlasništvu</w:t>
      </w:r>
    </w:p>
    <w:p w14:paraId="63392198" w14:textId="7F1E51F9" w:rsidR="00DC5F2A" w:rsidRDefault="00111259" w:rsidP="00141FB1">
      <w:pPr>
        <w:jc w:val="both"/>
        <w:rPr>
          <w:sz w:val="22"/>
          <w:szCs w:val="22"/>
        </w:rPr>
      </w:pPr>
      <w:proofErr w:type="spellStart"/>
      <w:r>
        <w:rPr>
          <w:sz w:val="22"/>
          <w:szCs w:val="22"/>
        </w:rPr>
        <w:t>Cto</w:t>
      </w:r>
      <w:proofErr w:type="spellEnd"/>
      <w:r w:rsidR="00C3181A">
        <w:rPr>
          <w:sz w:val="22"/>
          <w:szCs w:val="22"/>
        </w:rPr>
        <w:t xml:space="preserve"> 4223 Oprema za održavanje i zaštitu, u prethodnoj godini smo nabavili</w:t>
      </w:r>
      <w:r w:rsidR="00DC5F2A">
        <w:rPr>
          <w:sz w:val="22"/>
          <w:szCs w:val="22"/>
        </w:rPr>
        <w:t xml:space="preserve"> usisavač</w:t>
      </w:r>
      <w:r w:rsidR="00C3181A">
        <w:rPr>
          <w:sz w:val="22"/>
          <w:szCs w:val="22"/>
        </w:rPr>
        <w:t xml:space="preserve"> za potre</w:t>
      </w:r>
      <w:r w:rsidR="00DC5F2A">
        <w:rPr>
          <w:sz w:val="22"/>
          <w:szCs w:val="22"/>
        </w:rPr>
        <w:t>be općine</w:t>
      </w:r>
      <w:r w:rsidR="00C56F10">
        <w:rPr>
          <w:sz w:val="22"/>
          <w:szCs w:val="22"/>
        </w:rPr>
        <w:t>, a iznos od 12.130,99 kn komarnici za proračunskog korisnika</w:t>
      </w:r>
    </w:p>
    <w:p w14:paraId="5450B555" w14:textId="2736887F" w:rsidR="0095313F" w:rsidRDefault="00111259" w:rsidP="00141FB1">
      <w:pPr>
        <w:jc w:val="both"/>
        <w:rPr>
          <w:sz w:val="22"/>
          <w:szCs w:val="22"/>
        </w:rPr>
      </w:pPr>
      <w:proofErr w:type="spellStart"/>
      <w:r>
        <w:rPr>
          <w:sz w:val="22"/>
          <w:szCs w:val="22"/>
        </w:rPr>
        <w:lastRenderedPageBreak/>
        <w:t>Cto</w:t>
      </w:r>
      <w:proofErr w:type="spellEnd"/>
      <w:r w:rsidR="00910DF9">
        <w:rPr>
          <w:sz w:val="22"/>
          <w:szCs w:val="22"/>
        </w:rPr>
        <w:t xml:space="preserve"> 4227</w:t>
      </w:r>
      <w:r w:rsidR="006E0600">
        <w:rPr>
          <w:sz w:val="22"/>
          <w:szCs w:val="22"/>
        </w:rPr>
        <w:t xml:space="preserve"> Uređaji, strojevi i oprema za ostale namjene, u prethodnoj godini općina je nabavljala aparate za oba groblja, kuhinjsku oprema za dr. dom u Beletincu</w:t>
      </w:r>
      <w:r w:rsidR="006E20DC">
        <w:rPr>
          <w:sz w:val="22"/>
          <w:szCs w:val="22"/>
        </w:rPr>
        <w:t>, opremu za dječji vrtić u Beletincu</w:t>
      </w:r>
    </w:p>
    <w:p w14:paraId="5C8D8360" w14:textId="676815F9" w:rsidR="004F58D6" w:rsidRDefault="00111259" w:rsidP="00141FB1">
      <w:pPr>
        <w:jc w:val="both"/>
        <w:rPr>
          <w:sz w:val="22"/>
          <w:szCs w:val="22"/>
        </w:rPr>
      </w:pPr>
      <w:proofErr w:type="spellStart"/>
      <w:r>
        <w:rPr>
          <w:sz w:val="22"/>
          <w:szCs w:val="22"/>
        </w:rPr>
        <w:t>Cto</w:t>
      </w:r>
      <w:proofErr w:type="spellEnd"/>
      <w:r w:rsidR="0095313F">
        <w:rPr>
          <w:sz w:val="22"/>
          <w:szCs w:val="22"/>
        </w:rPr>
        <w:t xml:space="preserve"> 4264 Ostala nematerijalna proizvedena imovina u iznosu od 5.375,00</w:t>
      </w:r>
      <w:r w:rsidR="007A4DB9">
        <w:rPr>
          <w:sz w:val="22"/>
          <w:szCs w:val="22"/>
        </w:rPr>
        <w:t xml:space="preserve"> kn, odnosi se na</w:t>
      </w:r>
      <w:r w:rsidR="00F440C6">
        <w:rPr>
          <w:sz w:val="22"/>
          <w:szCs w:val="22"/>
        </w:rPr>
        <w:t xml:space="preserve"> </w:t>
      </w:r>
      <w:r w:rsidR="00CA07A0">
        <w:rPr>
          <w:sz w:val="22"/>
          <w:szCs w:val="22"/>
        </w:rPr>
        <w:t xml:space="preserve">izradu </w:t>
      </w:r>
      <w:r w:rsidR="007A4DB9">
        <w:rPr>
          <w:sz w:val="22"/>
          <w:szCs w:val="22"/>
        </w:rPr>
        <w:t>geodetsko</w:t>
      </w:r>
      <w:r w:rsidR="00CA07A0">
        <w:rPr>
          <w:sz w:val="22"/>
          <w:szCs w:val="22"/>
        </w:rPr>
        <w:t xml:space="preserve">g elaborata </w:t>
      </w:r>
      <w:r w:rsidR="00AC35E4">
        <w:rPr>
          <w:sz w:val="22"/>
          <w:szCs w:val="22"/>
        </w:rPr>
        <w:t xml:space="preserve"> stvarnog stanja za groblje </w:t>
      </w:r>
      <w:proofErr w:type="spellStart"/>
      <w:r w:rsidR="00AC35E4">
        <w:rPr>
          <w:sz w:val="22"/>
          <w:szCs w:val="22"/>
        </w:rPr>
        <w:t>Žigrovec</w:t>
      </w:r>
      <w:proofErr w:type="spellEnd"/>
      <w:r w:rsidR="00AC35E4">
        <w:rPr>
          <w:sz w:val="22"/>
          <w:szCs w:val="22"/>
        </w:rPr>
        <w:t>, dok je u prethodnoj godini bi</w:t>
      </w:r>
      <w:r w:rsidR="004F58D6">
        <w:rPr>
          <w:sz w:val="22"/>
          <w:szCs w:val="22"/>
        </w:rPr>
        <w:t>o izdatak za proširenje groblja-uređenje neizgrađenog dijela groblja Beletinec</w:t>
      </w:r>
    </w:p>
    <w:p w14:paraId="132D6B37" w14:textId="59C61AF4" w:rsidR="00027D7F" w:rsidRDefault="00111259" w:rsidP="00141FB1">
      <w:pPr>
        <w:jc w:val="both"/>
        <w:rPr>
          <w:sz w:val="22"/>
          <w:szCs w:val="22"/>
        </w:rPr>
      </w:pPr>
      <w:proofErr w:type="spellStart"/>
      <w:r>
        <w:rPr>
          <w:sz w:val="22"/>
          <w:szCs w:val="22"/>
        </w:rPr>
        <w:t>Cto</w:t>
      </w:r>
      <w:proofErr w:type="spellEnd"/>
      <w:r w:rsidR="004F58D6">
        <w:rPr>
          <w:sz w:val="22"/>
          <w:szCs w:val="22"/>
        </w:rPr>
        <w:t xml:space="preserve"> 451 Dodatna ulaganja na građevinskim objektima</w:t>
      </w:r>
      <w:r w:rsidR="00433703">
        <w:rPr>
          <w:sz w:val="22"/>
          <w:szCs w:val="22"/>
        </w:rPr>
        <w:t xml:space="preserve"> u iznosu od 160.885,00 kn, a odnosi se na</w:t>
      </w:r>
      <w:r w:rsidR="00D25B8E">
        <w:rPr>
          <w:sz w:val="22"/>
          <w:szCs w:val="22"/>
        </w:rPr>
        <w:t xml:space="preserve"> uređenje objekata u općinskom vlasništvu u iznosu od 86.875,00 kn, pripremu projekata za biciklističku stazu u iznosu od </w:t>
      </w:r>
      <w:r w:rsidR="00DC77FE">
        <w:rPr>
          <w:sz w:val="22"/>
          <w:szCs w:val="22"/>
        </w:rPr>
        <w:t xml:space="preserve">31.250,00 kn, </w:t>
      </w:r>
      <w:r w:rsidR="00AE3A44">
        <w:rPr>
          <w:sz w:val="22"/>
          <w:szCs w:val="22"/>
        </w:rPr>
        <w:t xml:space="preserve">uređenje naselja u iznosu od 19.510, 00 kn i uslugu izrade projekata za groblje u iznosu od </w:t>
      </w:r>
      <w:r w:rsidR="00027D7F">
        <w:rPr>
          <w:sz w:val="22"/>
          <w:szCs w:val="22"/>
        </w:rPr>
        <w:t>23.250,00 kn</w:t>
      </w:r>
    </w:p>
    <w:p w14:paraId="789B1082" w14:textId="77777777" w:rsidR="00027D7F" w:rsidRDefault="00027D7F" w:rsidP="00141FB1">
      <w:pPr>
        <w:jc w:val="both"/>
        <w:rPr>
          <w:sz w:val="22"/>
          <w:szCs w:val="22"/>
        </w:rPr>
      </w:pPr>
    </w:p>
    <w:p w14:paraId="7ADB8339" w14:textId="1B8C97EE" w:rsidR="00141FB1" w:rsidRDefault="00636382" w:rsidP="00141FB1">
      <w:pPr>
        <w:jc w:val="both"/>
        <w:rPr>
          <w:sz w:val="22"/>
          <w:szCs w:val="22"/>
        </w:rPr>
      </w:pPr>
      <w:proofErr w:type="spellStart"/>
      <w:r>
        <w:rPr>
          <w:sz w:val="22"/>
          <w:szCs w:val="22"/>
        </w:rPr>
        <w:t>Cto</w:t>
      </w:r>
      <w:proofErr w:type="spellEnd"/>
      <w:r w:rsidR="00420E82">
        <w:rPr>
          <w:sz w:val="22"/>
          <w:szCs w:val="22"/>
        </w:rPr>
        <w:t xml:space="preserve"> 8422</w:t>
      </w:r>
      <w:r w:rsidR="00141FB1">
        <w:rPr>
          <w:sz w:val="22"/>
          <w:szCs w:val="22"/>
        </w:rPr>
        <w:t xml:space="preserve"> Primljeni krediti od kreditnih institucija u javnom sektoru, Općina Sveti Ilija je dobila kratkoročni „okvirni kredit“ od Zagrebačke banke u iznosu od 1.600.000 kn, </w:t>
      </w:r>
      <w:r w:rsidR="00882072">
        <w:rPr>
          <w:sz w:val="22"/>
          <w:szCs w:val="22"/>
        </w:rPr>
        <w:t xml:space="preserve">a </w:t>
      </w:r>
      <w:r w:rsidR="00141FB1">
        <w:rPr>
          <w:sz w:val="22"/>
          <w:szCs w:val="22"/>
        </w:rPr>
        <w:t xml:space="preserve">koji </w:t>
      </w:r>
      <w:r w:rsidR="00882072">
        <w:rPr>
          <w:sz w:val="22"/>
          <w:szCs w:val="22"/>
        </w:rPr>
        <w:t xml:space="preserve">smo iskoristili u iznosu od 1.252.465,27 kn te ga </w:t>
      </w:r>
      <w:r w:rsidR="00141FB1">
        <w:rPr>
          <w:sz w:val="22"/>
          <w:szCs w:val="22"/>
        </w:rPr>
        <w:t>treba</w:t>
      </w:r>
      <w:r w:rsidR="00103AB0">
        <w:rPr>
          <w:sz w:val="22"/>
          <w:szCs w:val="22"/>
        </w:rPr>
        <w:t>mo</w:t>
      </w:r>
      <w:r w:rsidR="00141FB1">
        <w:rPr>
          <w:sz w:val="22"/>
          <w:szCs w:val="22"/>
        </w:rPr>
        <w:t xml:space="preserve"> podmiriti do </w:t>
      </w:r>
      <w:r w:rsidR="00103AB0">
        <w:rPr>
          <w:sz w:val="22"/>
          <w:szCs w:val="22"/>
        </w:rPr>
        <w:t>2</w:t>
      </w:r>
      <w:r w:rsidR="00141FB1">
        <w:rPr>
          <w:sz w:val="22"/>
          <w:szCs w:val="22"/>
        </w:rPr>
        <w:t>1.03.202</w:t>
      </w:r>
      <w:r w:rsidR="00103AB0">
        <w:rPr>
          <w:sz w:val="22"/>
          <w:szCs w:val="22"/>
        </w:rPr>
        <w:t>3</w:t>
      </w:r>
      <w:r w:rsidR="00141FB1">
        <w:rPr>
          <w:sz w:val="22"/>
          <w:szCs w:val="22"/>
        </w:rPr>
        <w:t>.</w:t>
      </w:r>
    </w:p>
    <w:p w14:paraId="63BB8591" w14:textId="352BC510" w:rsidR="00141FB1" w:rsidRDefault="00636382" w:rsidP="00141FB1">
      <w:pPr>
        <w:jc w:val="both"/>
        <w:rPr>
          <w:bCs/>
          <w:sz w:val="22"/>
          <w:szCs w:val="22"/>
        </w:rPr>
      </w:pPr>
      <w:proofErr w:type="spellStart"/>
      <w:r>
        <w:rPr>
          <w:sz w:val="22"/>
          <w:szCs w:val="22"/>
        </w:rPr>
        <w:t>Cto</w:t>
      </w:r>
      <w:proofErr w:type="spellEnd"/>
      <w:r w:rsidR="001B4C82">
        <w:rPr>
          <w:sz w:val="22"/>
          <w:szCs w:val="22"/>
        </w:rPr>
        <w:t xml:space="preserve"> </w:t>
      </w:r>
      <w:r w:rsidR="00D56CB3">
        <w:rPr>
          <w:sz w:val="22"/>
          <w:szCs w:val="22"/>
        </w:rPr>
        <w:t>8443</w:t>
      </w:r>
      <w:r w:rsidR="00141FB1">
        <w:rPr>
          <w:sz w:val="22"/>
          <w:szCs w:val="22"/>
        </w:rPr>
        <w:t xml:space="preserve"> Primljeni krediti od tuzemnih kreditnih institucija izvan javnog sektora u iznosu od </w:t>
      </w:r>
      <w:r w:rsidR="00D56CB3">
        <w:rPr>
          <w:sz w:val="22"/>
          <w:szCs w:val="22"/>
        </w:rPr>
        <w:t>5.700.536,00 kn</w:t>
      </w:r>
      <w:r w:rsidR="008529FD">
        <w:rPr>
          <w:sz w:val="22"/>
          <w:szCs w:val="22"/>
        </w:rPr>
        <w:t xml:space="preserve"> do 30.06.2021.g.</w:t>
      </w:r>
      <w:r w:rsidR="00141FB1">
        <w:rPr>
          <w:sz w:val="22"/>
          <w:szCs w:val="22"/>
        </w:rPr>
        <w:t>, općina je iskoristila u 2021.</w:t>
      </w:r>
      <w:r w:rsidR="00CB0683">
        <w:rPr>
          <w:sz w:val="22"/>
          <w:szCs w:val="22"/>
        </w:rPr>
        <w:t>dugoročni kredit u cijelosti</w:t>
      </w:r>
      <w:r w:rsidR="00141FB1">
        <w:rPr>
          <w:sz w:val="22"/>
          <w:szCs w:val="22"/>
        </w:rPr>
        <w:t xml:space="preserve"> za radove na izgradnji vrtića.</w:t>
      </w:r>
      <w:r w:rsidR="00141FB1">
        <w:rPr>
          <w:b/>
          <w:bCs/>
          <w:sz w:val="22"/>
          <w:szCs w:val="22"/>
          <w:lang w:eastAsia="hr-HR"/>
        </w:rPr>
        <w:t xml:space="preserve"> </w:t>
      </w:r>
      <w:r w:rsidR="00141FB1">
        <w:rPr>
          <w:bCs/>
          <w:sz w:val="22"/>
          <w:szCs w:val="22"/>
        </w:rPr>
        <w:t>Sukladno odredbama Zakona o proračunu Općina Sveti Ilija  se dugoročno zadužila u Zagrebačkoj banci d.d., Zagreb, Trg bana Josipa Jelačića 10, OIB 92963223473 za financiranje projekta „Građenje javne i društvene namjene, predškolska ustanova – dječji vrtić na području općine Sveti Ilija, naselje Beletinec“</w:t>
      </w:r>
    </w:p>
    <w:p w14:paraId="2BFFE4D8" w14:textId="77777777" w:rsidR="00141FB1" w:rsidRDefault="00141FB1" w:rsidP="00141FB1">
      <w:pPr>
        <w:jc w:val="both"/>
        <w:rPr>
          <w:bCs/>
          <w:sz w:val="22"/>
          <w:szCs w:val="22"/>
        </w:rPr>
      </w:pPr>
      <w:r>
        <w:rPr>
          <w:bCs/>
          <w:sz w:val="22"/>
          <w:szCs w:val="22"/>
        </w:rPr>
        <w:t>-iznos kredita je 10.000.000,00 kn</w:t>
      </w:r>
    </w:p>
    <w:p w14:paraId="12FAEBCB" w14:textId="77777777" w:rsidR="00141FB1" w:rsidRDefault="00141FB1" w:rsidP="00141FB1">
      <w:pPr>
        <w:jc w:val="both"/>
        <w:rPr>
          <w:bCs/>
          <w:sz w:val="22"/>
          <w:szCs w:val="22"/>
        </w:rPr>
      </w:pPr>
      <w:r>
        <w:rPr>
          <w:bCs/>
          <w:sz w:val="22"/>
          <w:szCs w:val="22"/>
        </w:rPr>
        <w:t>-rok korištenja kredita: do 30.11.2021.(kredit se može koristiti sukcesivno), aneks ugovora</w:t>
      </w:r>
    </w:p>
    <w:p w14:paraId="3F347C80" w14:textId="77777777" w:rsidR="00141FB1" w:rsidRDefault="00141FB1" w:rsidP="00141FB1">
      <w:pPr>
        <w:jc w:val="both"/>
        <w:rPr>
          <w:bCs/>
          <w:sz w:val="22"/>
          <w:szCs w:val="22"/>
        </w:rPr>
      </w:pPr>
      <w:r>
        <w:rPr>
          <w:bCs/>
          <w:sz w:val="22"/>
          <w:szCs w:val="22"/>
        </w:rPr>
        <w:t>-rok otplate: u jednakim mjesečnim ratama, u roku od 10 godina od isteka Roka korištenja Kredita</w:t>
      </w:r>
    </w:p>
    <w:p w14:paraId="5B99055A" w14:textId="77777777" w:rsidR="00141FB1" w:rsidRDefault="00141FB1" w:rsidP="00141FB1">
      <w:pPr>
        <w:jc w:val="both"/>
        <w:rPr>
          <w:bCs/>
          <w:sz w:val="22"/>
          <w:szCs w:val="22"/>
        </w:rPr>
      </w:pPr>
      <w:r>
        <w:rPr>
          <w:bCs/>
          <w:sz w:val="22"/>
          <w:szCs w:val="22"/>
        </w:rPr>
        <w:t>-visina rata utvrđuje se u trenutku isteka Roka korištenja Kredita, na temelju iskorištenog iznosa kredita</w:t>
      </w:r>
    </w:p>
    <w:p w14:paraId="186F3925" w14:textId="77777777" w:rsidR="00141FB1" w:rsidRDefault="00141FB1" w:rsidP="00141FB1">
      <w:pPr>
        <w:jc w:val="both"/>
        <w:rPr>
          <w:bCs/>
          <w:sz w:val="22"/>
          <w:szCs w:val="22"/>
        </w:rPr>
      </w:pPr>
      <w:r>
        <w:rPr>
          <w:bCs/>
          <w:sz w:val="22"/>
          <w:szCs w:val="22"/>
        </w:rPr>
        <w:t xml:space="preserve">-prva rata dospjela je 31.12.2021.g., svaka naredna svakog zadnjeg u mjesecu, a zadnja rata 30.11.2031.g..  </w:t>
      </w:r>
    </w:p>
    <w:p w14:paraId="7DF0060C" w14:textId="77777777" w:rsidR="00141FB1" w:rsidRDefault="00141FB1" w:rsidP="00141FB1">
      <w:pPr>
        <w:jc w:val="both"/>
        <w:rPr>
          <w:bCs/>
          <w:sz w:val="22"/>
          <w:szCs w:val="22"/>
        </w:rPr>
      </w:pPr>
      <w:r>
        <w:rPr>
          <w:bCs/>
          <w:sz w:val="22"/>
          <w:szCs w:val="22"/>
        </w:rPr>
        <w:t>-redovna kamata po Redovnoj kamatnoj stopi u visini 1,30% godišnje, fiksna</w:t>
      </w:r>
    </w:p>
    <w:p w14:paraId="7C24F0BE" w14:textId="77777777" w:rsidR="00141FB1" w:rsidRDefault="00141FB1" w:rsidP="00141FB1">
      <w:pPr>
        <w:jc w:val="both"/>
        <w:rPr>
          <w:bCs/>
          <w:sz w:val="22"/>
          <w:szCs w:val="22"/>
        </w:rPr>
      </w:pPr>
      <w:r>
        <w:rPr>
          <w:bCs/>
          <w:sz w:val="22"/>
          <w:szCs w:val="22"/>
        </w:rPr>
        <w:t>-zatezna kamata po stopi važeće zakonske zatezne kamate koja se primjenjuje na istu vrstu pravnog odnosa, zaračunava se kvartalno, primjenom proporcionalne metode obračuna kamate i kalendarskog broja dana u mjesecu i godini, a dospijeva i naplaćuje se 10. dan po isteku kvartala, u HRK</w:t>
      </w:r>
    </w:p>
    <w:p w14:paraId="3034A8ED" w14:textId="77777777" w:rsidR="00141FB1" w:rsidRDefault="00141FB1" w:rsidP="00141FB1">
      <w:pPr>
        <w:jc w:val="both"/>
        <w:rPr>
          <w:bCs/>
          <w:sz w:val="22"/>
          <w:szCs w:val="22"/>
        </w:rPr>
      </w:pPr>
      <w:r>
        <w:rPr>
          <w:bCs/>
          <w:sz w:val="22"/>
          <w:szCs w:val="22"/>
        </w:rPr>
        <w:t xml:space="preserve">-naknada za obradu kredita: 0,10%  od ugovorenog iznosa Kredita, naknada je uplaćena u iznosu od 10.000,00 kn na žiro-račun Zagrebačke banke </w:t>
      </w:r>
      <w:proofErr w:type="spellStart"/>
      <w:r>
        <w:rPr>
          <w:bCs/>
          <w:sz w:val="22"/>
          <w:szCs w:val="22"/>
        </w:rPr>
        <w:t>dd</w:t>
      </w:r>
      <w:proofErr w:type="spellEnd"/>
      <w:r>
        <w:rPr>
          <w:bCs/>
          <w:sz w:val="22"/>
          <w:szCs w:val="22"/>
        </w:rPr>
        <w:t xml:space="preserve"> </w:t>
      </w:r>
    </w:p>
    <w:p w14:paraId="6F416855" w14:textId="77777777" w:rsidR="00141FB1" w:rsidRDefault="00141FB1" w:rsidP="00141FB1">
      <w:pPr>
        <w:jc w:val="both"/>
        <w:rPr>
          <w:bCs/>
          <w:sz w:val="22"/>
          <w:szCs w:val="22"/>
        </w:rPr>
      </w:pPr>
      <w:r>
        <w:rPr>
          <w:bCs/>
          <w:sz w:val="22"/>
          <w:szCs w:val="22"/>
        </w:rPr>
        <w:t>-naknada za rezervaciju sredstava: -</w:t>
      </w:r>
    </w:p>
    <w:p w14:paraId="3B4C75B9" w14:textId="77777777" w:rsidR="00141FB1" w:rsidRDefault="00141FB1" w:rsidP="00141FB1">
      <w:pPr>
        <w:jc w:val="both"/>
        <w:rPr>
          <w:bCs/>
          <w:sz w:val="22"/>
          <w:szCs w:val="22"/>
        </w:rPr>
      </w:pPr>
      <w:r>
        <w:rPr>
          <w:bCs/>
          <w:sz w:val="22"/>
          <w:szCs w:val="22"/>
        </w:rPr>
        <w:t>-prijevremena otplata kredita: -</w:t>
      </w:r>
    </w:p>
    <w:p w14:paraId="7F4D02F5" w14:textId="77777777" w:rsidR="00141FB1" w:rsidRDefault="00141FB1" w:rsidP="00141FB1">
      <w:pPr>
        <w:jc w:val="both"/>
        <w:rPr>
          <w:bCs/>
          <w:sz w:val="22"/>
          <w:szCs w:val="22"/>
        </w:rPr>
      </w:pPr>
      <w:r>
        <w:rPr>
          <w:bCs/>
          <w:sz w:val="22"/>
          <w:szCs w:val="22"/>
        </w:rPr>
        <w:t>-za izmjenu uvjeta: 0,10% jednokratno, najmanje 500,00 HRK na iznos na koji se promjena uvjeta odnosi</w:t>
      </w:r>
    </w:p>
    <w:p w14:paraId="48777F84" w14:textId="77777777" w:rsidR="00141FB1" w:rsidRDefault="00141FB1" w:rsidP="00141FB1">
      <w:pPr>
        <w:jc w:val="both"/>
        <w:rPr>
          <w:bCs/>
          <w:sz w:val="22"/>
          <w:szCs w:val="22"/>
        </w:rPr>
      </w:pPr>
      <w:r>
        <w:rPr>
          <w:bCs/>
          <w:sz w:val="22"/>
          <w:szCs w:val="22"/>
        </w:rPr>
        <w:t>-troškovi: javnobilježničke troškove, troškove pribavljanja ugovornih instrumenata osiguranja povrata Kredita, kao i sve ostale troškove u vezi s ovim Ugovorom snosi Korisnik kredita.</w:t>
      </w:r>
    </w:p>
    <w:p w14:paraId="2B63D760" w14:textId="77777777" w:rsidR="00141FB1" w:rsidRDefault="00141FB1" w:rsidP="00141FB1">
      <w:pPr>
        <w:jc w:val="both"/>
        <w:rPr>
          <w:bCs/>
          <w:sz w:val="22"/>
          <w:szCs w:val="22"/>
        </w:rPr>
      </w:pPr>
      <w:r>
        <w:rPr>
          <w:bCs/>
          <w:sz w:val="22"/>
          <w:szCs w:val="22"/>
        </w:rPr>
        <w:t>Redoslijed plaćanja:</w:t>
      </w:r>
    </w:p>
    <w:p w14:paraId="304A5159" w14:textId="77777777" w:rsidR="00141FB1" w:rsidRDefault="00141FB1" w:rsidP="00141FB1">
      <w:pPr>
        <w:jc w:val="both"/>
        <w:rPr>
          <w:bCs/>
          <w:sz w:val="22"/>
          <w:szCs w:val="22"/>
        </w:rPr>
      </w:pPr>
      <w:r>
        <w:rPr>
          <w:bCs/>
          <w:sz w:val="22"/>
          <w:szCs w:val="22"/>
        </w:rPr>
        <w:t>a) troškovi,</w:t>
      </w:r>
    </w:p>
    <w:p w14:paraId="2E1F8425" w14:textId="77777777" w:rsidR="00141FB1" w:rsidRDefault="00141FB1" w:rsidP="00141FB1">
      <w:pPr>
        <w:jc w:val="both"/>
        <w:rPr>
          <w:bCs/>
          <w:sz w:val="22"/>
          <w:szCs w:val="22"/>
        </w:rPr>
      </w:pPr>
      <w:r>
        <w:rPr>
          <w:bCs/>
          <w:sz w:val="22"/>
          <w:szCs w:val="22"/>
        </w:rPr>
        <w:t>b) zatezna kamata,</w:t>
      </w:r>
    </w:p>
    <w:p w14:paraId="0A1D5DDB" w14:textId="77777777" w:rsidR="00141FB1" w:rsidRDefault="00141FB1" w:rsidP="00141FB1">
      <w:pPr>
        <w:jc w:val="both"/>
        <w:rPr>
          <w:bCs/>
          <w:sz w:val="22"/>
          <w:szCs w:val="22"/>
        </w:rPr>
      </w:pPr>
      <w:r>
        <w:rPr>
          <w:bCs/>
          <w:sz w:val="22"/>
          <w:szCs w:val="22"/>
        </w:rPr>
        <w:t>c) redovna kamata,</w:t>
      </w:r>
    </w:p>
    <w:p w14:paraId="23A648F1" w14:textId="77777777" w:rsidR="00141FB1" w:rsidRDefault="00141FB1" w:rsidP="00141FB1">
      <w:pPr>
        <w:jc w:val="both"/>
        <w:rPr>
          <w:bCs/>
          <w:sz w:val="22"/>
          <w:szCs w:val="22"/>
        </w:rPr>
      </w:pPr>
      <w:r>
        <w:rPr>
          <w:bCs/>
          <w:sz w:val="22"/>
          <w:szCs w:val="22"/>
        </w:rPr>
        <w:t>d) naknade,</w:t>
      </w:r>
    </w:p>
    <w:p w14:paraId="3D4909BC" w14:textId="77777777" w:rsidR="00141FB1" w:rsidRDefault="00141FB1" w:rsidP="00141FB1">
      <w:pPr>
        <w:jc w:val="both"/>
        <w:rPr>
          <w:bCs/>
          <w:sz w:val="22"/>
          <w:szCs w:val="22"/>
        </w:rPr>
      </w:pPr>
      <w:r>
        <w:rPr>
          <w:bCs/>
          <w:sz w:val="22"/>
          <w:szCs w:val="22"/>
        </w:rPr>
        <w:t xml:space="preserve">e) glavnica  </w:t>
      </w:r>
    </w:p>
    <w:p w14:paraId="36075660" w14:textId="77777777" w:rsidR="00141FB1" w:rsidRDefault="00141FB1" w:rsidP="00141FB1">
      <w:pPr>
        <w:jc w:val="both"/>
        <w:rPr>
          <w:bCs/>
          <w:sz w:val="22"/>
          <w:szCs w:val="22"/>
        </w:rPr>
      </w:pPr>
      <w:r>
        <w:rPr>
          <w:bCs/>
          <w:sz w:val="22"/>
          <w:szCs w:val="22"/>
        </w:rPr>
        <w:t>Otplata kredita, redovne i zatezne kamate uplaćuju se u korist računa kreditne partije IBAN HR88236000010000000135100561238.</w:t>
      </w:r>
    </w:p>
    <w:p w14:paraId="52897BFD" w14:textId="77777777" w:rsidR="00141FB1" w:rsidRDefault="00141FB1" w:rsidP="00141FB1">
      <w:pPr>
        <w:jc w:val="both"/>
        <w:rPr>
          <w:bCs/>
          <w:sz w:val="22"/>
          <w:szCs w:val="22"/>
        </w:rPr>
      </w:pPr>
      <w:r>
        <w:rPr>
          <w:bCs/>
          <w:sz w:val="22"/>
          <w:szCs w:val="22"/>
        </w:rPr>
        <w:t xml:space="preserve">Instrumenti osiguranja povrata kredita: korisnik kredita je prije korištenja Kredita dostavio Kreditoru 1 (jednu) zadužnicu Korisnika kredita na iznos Kredita, uvećano za ugovorene kamate, naknade i ostale troškove, </w:t>
      </w:r>
      <w:proofErr w:type="spellStart"/>
      <w:r>
        <w:rPr>
          <w:bCs/>
          <w:sz w:val="22"/>
          <w:szCs w:val="22"/>
        </w:rPr>
        <w:t>solemniziranu</w:t>
      </w:r>
      <w:proofErr w:type="spellEnd"/>
      <w:r>
        <w:rPr>
          <w:bCs/>
          <w:sz w:val="22"/>
          <w:szCs w:val="22"/>
        </w:rPr>
        <w:t xml:space="preserve"> od strane javnog bilježnika.</w:t>
      </w:r>
    </w:p>
    <w:p w14:paraId="7F666DF3" w14:textId="77777777" w:rsidR="00141FB1" w:rsidRDefault="00141FB1" w:rsidP="00141FB1">
      <w:pPr>
        <w:jc w:val="both"/>
        <w:rPr>
          <w:bCs/>
          <w:sz w:val="22"/>
          <w:szCs w:val="22"/>
        </w:rPr>
      </w:pPr>
      <w:r>
        <w:rPr>
          <w:bCs/>
          <w:sz w:val="22"/>
          <w:szCs w:val="22"/>
        </w:rPr>
        <w:t>U 2020.g. općina je iskoristila 2.240.743 kn za izgradnju vrtića</w:t>
      </w:r>
    </w:p>
    <w:p w14:paraId="4BA1ECC5" w14:textId="4D147392" w:rsidR="00141FB1" w:rsidRDefault="00141FB1" w:rsidP="00141FB1">
      <w:pPr>
        <w:jc w:val="both"/>
        <w:rPr>
          <w:bCs/>
          <w:sz w:val="22"/>
          <w:szCs w:val="22"/>
        </w:rPr>
      </w:pPr>
    </w:p>
    <w:p w14:paraId="63A7A6E3" w14:textId="22DF75DA" w:rsidR="00225C35" w:rsidRDefault="008549B8" w:rsidP="00225C35">
      <w:pPr>
        <w:jc w:val="both"/>
        <w:rPr>
          <w:sz w:val="22"/>
          <w:szCs w:val="22"/>
        </w:rPr>
      </w:pPr>
      <w:proofErr w:type="spellStart"/>
      <w:r>
        <w:rPr>
          <w:bCs/>
          <w:sz w:val="22"/>
          <w:szCs w:val="22"/>
        </w:rPr>
        <w:t>Cto</w:t>
      </w:r>
      <w:proofErr w:type="spellEnd"/>
      <w:r w:rsidR="00D73664">
        <w:rPr>
          <w:bCs/>
          <w:sz w:val="22"/>
          <w:szCs w:val="22"/>
        </w:rPr>
        <w:t xml:space="preserve"> 5422 Otplata glavnice primljenih kredita u javnom sektoru u </w:t>
      </w:r>
      <w:bookmarkStart w:id="1" w:name="_Hlk113871926"/>
      <w:r w:rsidR="00D73664">
        <w:rPr>
          <w:bCs/>
          <w:sz w:val="22"/>
          <w:szCs w:val="22"/>
        </w:rPr>
        <w:t>iznosu od 348.</w:t>
      </w:r>
      <w:r w:rsidR="00CE657D">
        <w:rPr>
          <w:bCs/>
          <w:sz w:val="22"/>
          <w:szCs w:val="22"/>
        </w:rPr>
        <w:t>039,40 kn odnosi se na otplatu glavnice za katastarsku izmjeru „Croatia“ banci</w:t>
      </w:r>
      <w:r w:rsidR="00225C35" w:rsidRPr="00225C35">
        <w:rPr>
          <w:sz w:val="22"/>
          <w:szCs w:val="22"/>
        </w:rPr>
        <w:t xml:space="preserve"> </w:t>
      </w:r>
      <w:r w:rsidR="00225C35">
        <w:rPr>
          <w:sz w:val="22"/>
          <w:szCs w:val="22"/>
        </w:rPr>
        <w:t xml:space="preserve">Zagreb. Općina Sveti Ilija je u 2014.g. dobila dugoročni kredit od Croatia banke u iznosu od  3.099.831 kn,  rok korištenja kredita je bio do 31.12.2016.g., a otplata je na 6 godina, bez počeka u 25 rata jednake tromjesečne rate, prva rata je dospjela 31.03.2017.g., a kredit je primljen za „Katastarsku izmjeru Općine Sveti Ilija“ u okviru </w:t>
      </w:r>
      <w:r w:rsidR="00225C35">
        <w:rPr>
          <w:sz w:val="22"/>
          <w:szCs w:val="22"/>
        </w:rPr>
        <w:lastRenderedPageBreak/>
        <w:t>programa „Infrastruktura“. Općina je otplatila 23 rat</w:t>
      </w:r>
      <w:r w:rsidR="00CF0BA2">
        <w:rPr>
          <w:sz w:val="22"/>
          <w:szCs w:val="22"/>
        </w:rPr>
        <w:t>e</w:t>
      </w:r>
      <w:r w:rsidR="00225C35">
        <w:rPr>
          <w:sz w:val="22"/>
          <w:szCs w:val="22"/>
        </w:rPr>
        <w:t xml:space="preserve"> kredita, ostal</w:t>
      </w:r>
      <w:r w:rsidR="00CF0BA2">
        <w:rPr>
          <w:sz w:val="22"/>
          <w:szCs w:val="22"/>
        </w:rPr>
        <w:t>e su</w:t>
      </w:r>
      <w:r w:rsidR="00225C35">
        <w:rPr>
          <w:sz w:val="22"/>
          <w:szCs w:val="22"/>
        </w:rPr>
        <w:t xml:space="preserve"> još </w:t>
      </w:r>
      <w:r w:rsidR="00CF0BA2">
        <w:rPr>
          <w:sz w:val="22"/>
          <w:szCs w:val="22"/>
        </w:rPr>
        <w:t>2</w:t>
      </w:r>
      <w:r w:rsidR="00225C35">
        <w:rPr>
          <w:sz w:val="22"/>
          <w:szCs w:val="22"/>
        </w:rPr>
        <w:t xml:space="preserve"> rat</w:t>
      </w:r>
      <w:r w:rsidR="00CF0BA2">
        <w:rPr>
          <w:sz w:val="22"/>
          <w:szCs w:val="22"/>
        </w:rPr>
        <w:t>e</w:t>
      </w:r>
      <w:r w:rsidR="00225C35">
        <w:rPr>
          <w:sz w:val="22"/>
          <w:szCs w:val="22"/>
        </w:rPr>
        <w:t xml:space="preserve"> za otplatiti u iznosu od </w:t>
      </w:r>
      <w:r w:rsidR="00C832FF">
        <w:rPr>
          <w:sz w:val="22"/>
          <w:szCs w:val="22"/>
        </w:rPr>
        <w:t>279.012,12</w:t>
      </w:r>
      <w:r w:rsidR="00225C35">
        <w:rPr>
          <w:sz w:val="22"/>
          <w:szCs w:val="22"/>
        </w:rPr>
        <w:t xml:space="preserve"> kn.</w:t>
      </w:r>
    </w:p>
    <w:p w14:paraId="77A6382B" w14:textId="3E5CF3F5" w:rsidR="003940BB" w:rsidRDefault="008549B8" w:rsidP="00141FB1">
      <w:pPr>
        <w:jc w:val="both"/>
        <w:rPr>
          <w:bCs/>
          <w:sz w:val="22"/>
          <w:szCs w:val="22"/>
        </w:rPr>
      </w:pPr>
      <w:proofErr w:type="spellStart"/>
      <w:r>
        <w:rPr>
          <w:bCs/>
          <w:sz w:val="22"/>
          <w:szCs w:val="22"/>
        </w:rPr>
        <w:t>Cto</w:t>
      </w:r>
      <w:proofErr w:type="spellEnd"/>
      <w:r w:rsidR="003940BB">
        <w:rPr>
          <w:bCs/>
          <w:sz w:val="22"/>
          <w:szCs w:val="22"/>
        </w:rPr>
        <w:t xml:space="preserve"> 5443 </w:t>
      </w:r>
      <w:r w:rsidR="007E733C">
        <w:rPr>
          <w:bCs/>
          <w:sz w:val="22"/>
          <w:szCs w:val="22"/>
        </w:rPr>
        <w:t xml:space="preserve">Otplata glavnice primljenih kredita od tuzemnih kreditnih institucija izvan javnog sektora u iznosu od </w:t>
      </w:r>
      <w:r w:rsidR="008E57A5">
        <w:rPr>
          <w:bCs/>
          <w:sz w:val="22"/>
          <w:szCs w:val="22"/>
        </w:rPr>
        <w:t>2.100.000,04 kn, a odnosi se na povrat</w:t>
      </w:r>
      <w:r w:rsidR="004A1556">
        <w:rPr>
          <w:bCs/>
          <w:sz w:val="22"/>
          <w:szCs w:val="22"/>
        </w:rPr>
        <w:t xml:space="preserve"> kratkoročnog</w:t>
      </w:r>
      <w:r w:rsidR="00165DBC">
        <w:rPr>
          <w:bCs/>
          <w:sz w:val="22"/>
          <w:szCs w:val="22"/>
        </w:rPr>
        <w:t xml:space="preserve"> okvirnog</w:t>
      </w:r>
      <w:r w:rsidR="008E57A5">
        <w:rPr>
          <w:bCs/>
          <w:sz w:val="22"/>
          <w:szCs w:val="22"/>
        </w:rPr>
        <w:t xml:space="preserve"> kr</w:t>
      </w:r>
      <w:r w:rsidR="00165DBC">
        <w:rPr>
          <w:bCs/>
          <w:sz w:val="22"/>
          <w:szCs w:val="22"/>
        </w:rPr>
        <w:t xml:space="preserve">edita Zagrebačkoj banci u iznosu od 1.600.000,00 kn i </w:t>
      </w:r>
      <w:r w:rsidR="004A1556">
        <w:rPr>
          <w:bCs/>
          <w:sz w:val="22"/>
          <w:szCs w:val="22"/>
        </w:rPr>
        <w:t>na otplatu glavnice</w:t>
      </w:r>
      <w:r w:rsidR="00872B8C">
        <w:rPr>
          <w:bCs/>
          <w:sz w:val="22"/>
          <w:szCs w:val="22"/>
        </w:rPr>
        <w:t xml:space="preserve"> primljenih kreditnih institucija izvan javnog sektora Zagrebačkoj banci dugoročni kredit</w:t>
      </w:r>
      <w:r w:rsidR="00931B91">
        <w:rPr>
          <w:bCs/>
          <w:sz w:val="22"/>
          <w:szCs w:val="22"/>
        </w:rPr>
        <w:t xml:space="preserve"> za izgradnju dječjeg vrtića u iznosu od 500.000,04 kn</w:t>
      </w:r>
    </w:p>
    <w:p w14:paraId="01FAFC6D" w14:textId="7BA3C182" w:rsidR="00141FB1" w:rsidRDefault="008549B8" w:rsidP="00141FB1">
      <w:pPr>
        <w:jc w:val="both"/>
        <w:rPr>
          <w:sz w:val="22"/>
          <w:szCs w:val="22"/>
        </w:rPr>
      </w:pPr>
      <w:proofErr w:type="spellStart"/>
      <w:r>
        <w:rPr>
          <w:sz w:val="22"/>
          <w:szCs w:val="22"/>
        </w:rPr>
        <w:t>Cto</w:t>
      </w:r>
      <w:proofErr w:type="spellEnd"/>
      <w:r w:rsidR="00E225E6">
        <w:rPr>
          <w:sz w:val="22"/>
          <w:szCs w:val="22"/>
        </w:rPr>
        <w:t xml:space="preserve"> 5471</w:t>
      </w:r>
      <w:r w:rsidR="00141FB1">
        <w:rPr>
          <w:sz w:val="22"/>
          <w:szCs w:val="22"/>
        </w:rPr>
        <w:t xml:space="preserve"> Otplata glavnice primljenih zajmova od državnog proračuna u iznosu od </w:t>
      </w:r>
      <w:r w:rsidR="00E225E6">
        <w:rPr>
          <w:sz w:val="22"/>
          <w:szCs w:val="22"/>
        </w:rPr>
        <w:t>297.819</w:t>
      </w:r>
      <w:r w:rsidR="00224175">
        <w:rPr>
          <w:sz w:val="22"/>
          <w:szCs w:val="22"/>
        </w:rPr>
        <w:t>,93</w:t>
      </w:r>
      <w:r w:rsidR="00141FB1">
        <w:rPr>
          <w:sz w:val="22"/>
          <w:szCs w:val="22"/>
        </w:rPr>
        <w:t xml:space="preserve"> kn, </w:t>
      </w:r>
      <w:bookmarkStart w:id="2" w:name="_Hlk95466014"/>
      <w:r w:rsidR="00141FB1">
        <w:rPr>
          <w:sz w:val="22"/>
          <w:szCs w:val="22"/>
        </w:rPr>
        <w:t>općina je podmirila dug zajma po godišnjoj prijavi</w:t>
      </w:r>
      <w:r w:rsidR="00843835">
        <w:rPr>
          <w:sz w:val="22"/>
          <w:szCs w:val="22"/>
        </w:rPr>
        <w:t xml:space="preserve"> za nedostatna sredstva</w:t>
      </w:r>
      <w:r w:rsidR="00141FB1">
        <w:rPr>
          <w:sz w:val="22"/>
          <w:szCs w:val="22"/>
        </w:rPr>
        <w:t xml:space="preserve"> u iznosu od </w:t>
      </w:r>
      <w:r w:rsidR="00843835">
        <w:rPr>
          <w:sz w:val="22"/>
          <w:szCs w:val="22"/>
        </w:rPr>
        <w:t>293.588,48</w:t>
      </w:r>
      <w:r w:rsidR="00141FB1">
        <w:rPr>
          <w:sz w:val="22"/>
          <w:szCs w:val="22"/>
        </w:rPr>
        <w:t xml:space="preserve"> kn i zajma za odgođena plaćanja u iznosu od </w:t>
      </w:r>
      <w:r w:rsidR="00843835">
        <w:rPr>
          <w:sz w:val="22"/>
          <w:szCs w:val="22"/>
        </w:rPr>
        <w:t>4.231,45</w:t>
      </w:r>
      <w:r w:rsidR="00141FB1">
        <w:rPr>
          <w:sz w:val="22"/>
          <w:szCs w:val="22"/>
        </w:rPr>
        <w:t xml:space="preserve"> kn</w:t>
      </w:r>
    </w:p>
    <w:bookmarkEnd w:id="1"/>
    <w:p w14:paraId="228700F4" w14:textId="0208A218" w:rsidR="008B31C5" w:rsidRDefault="000F7756" w:rsidP="00141FB1">
      <w:pPr>
        <w:jc w:val="both"/>
        <w:rPr>
          <w:sz w:val="22"/>
          <w:szCs w:val="22"/>
        </w:rPr>
      </w:pPr>
      <w:r>
        <w:rPr>
          <w:sz w:val="22"/>
          <w:szCs w:val="22"/>
        </w:rPr>
        <w:t xml:space="preserve">   </w:t>
      </w:r>
    </w:p>
    <w:p w14:paraId="70D191A1" w14:textId="77777777" w:rsidR="000F7756" w:rsidRDefault="000F7756" w:rsidP="000F7756">
      <w:pPr>
        <w:jc w:val="center"/>
        <w:rPr>
          <w:b/>
          <w:bCs/>
        </w:rPr>
      </w:pPr>
      <w:r>
        <w:rPr>
          <w:b/>
          <w:bCs/>
        </w:rPr>
        <w:t>OBVEZE</w:t>
      </w:r>
    </w:p>
    <w:p w14:paraId="71DCE06F" w14:textId="1A6CEB7C" w:rsidR="000F7756" w:rsidRDefault="000F7756" w:rsidP="000F7756">
      <w:pPr>
        <w:rPr>
          <w:sz w:val="22"/>
          <w:szCs w:val="22"/>
        </w:rPr>
      </w:pPr>
      <w:r>
        <w:rPr>
          <w:sz w:val="22"/>
          <w:szCs w:val="22"/>
        </w:rPr>
        <w:t>Stanje obveza 1. siječnja je 16.262.752,69 kn, iznos od  16.104.027,41 kn odnosi se na općinu, a iznos od 158.725,28 kn odnosi se na proračunskog korisnika</w:t>
      </w:r>
    </w:p>
    <w:p w14:paraId="6F5B8DCA" w14:textId="740973E9" w:rsidR="000F7756" w:rsidRDefault="000F7756" w:rsidP="000F7756">
      <w:pPr>
        <w:rPr>
          <w:sz w:val="22"/>
          <w:szCs w:val="22"/>
        </w:rPr>
      </w:pPr>
      <w:r>
        <w:rPr>
          <w:sz w:val="22"/>
          <w:szCs w:val="22"/>
        </w:rPr>
        <w:t>Stanje obveza na kraju izvještajnog razdoblja je 14.831.964,98 kn, iznos od 14.659.410,11 kn iz čega je vidljivo da je Općina smanjila obveze za 1.444.617,30 kn, a iznos od 158.725,28 kn odnosi se proračunskog korisnika</w:t>
      </w:r>
    </w:p>
    <w:p w14:paraId="1D454723" w14:textId="49922ABF" w:rsidR="000F7756" w:rsidRDefault="000F7756" w:rsidP="000F7756">
      <w:pPr>
        <w:rPr>
          <w:sz w:val="22"/>
          <w:szCs w:val="22"/>
        </w:rPr>
      </w:pPr>
      <w:r>
        <w:rPr>
          <w:sz w:val="22"/>
          <w:szCs w:val="22"/>
        </w:rPr>
        <w:t>Stanje dospjelih obveza na kraju izvještajnog razdoblja je 139.945,26 kn, iznos od 93.682,69 kn koje se sastoji od naknade članovima izvršnih i predstavničkih tijela u iznosu od 50.071,28 kn i za nabavu materijala za nerazvrstane ceste u iznosu od 43.611,41 kn, a iznos od 46.262,57 kn odnosi se na proračunskog korisnika i to za materijal i energiju u iznosu od 31.588,57 kn i usluge u iznosu od 14.674,00 kn.</w:t>
      </w:r>
    </w:p>
    <w:p w14:paraId="380C47AB" w14:textId="77777777" w:rsidR="000F7756" w:rsidRDefault="000F7756" w:rsidP="000F7756">
      <w:pPr>
        <w:rPr>
          <w:sz w:val="22"/>
          <w:szCs w:val="22"/>
        </w:rPr>
      </w:pPr>
      <w:r>
        <w:rPr>
          <w:sz w:val="22"/>
          <w:szCs w:val="22"/>
        </w:rPr>
        <w:t>Općina nije mogla podmiriti sve nastale obveze jer pored nastalih obveza financiramo  projekte udrugama građana na području općine, isplaćujemo stipendije studentima, nagrađujemo učenike generacije, financiramo škole plivanja, izlete djeci slabijeg imovinskog statusa, školsku kuhinju i dr.</w:t>
      </w:r>
    </w:p>
    <w:p w14:paraId="35EBE8AC" w14:textId="17ADC5B1" w:rsidR="000F7756" w:rsidRDefault="000F7756" w:rsidP="000F7756">
      <w:pPr>
        <w:rPr>
          <w:sz w:val="22"/>
          <w:szCs w:val="22"/>
        </w:rPr>
      </w:pPr>
      <w:r>
        <w:rPr>
          <w:sz w:val="22"/>
          <w:szCs w:val="22"/>
        </w:rPr>
        <w:t>Stanje nedospjelih obveza na kraju izvještajnog razdoblja je 14.692.019,72 kn, iznos od 14.565.727,42 kn što se odnosi na obveze za kredite općine i to:</w:t>
      </w:r>
    </w:p>
    <w:p w14:paraId="3649F1D7" w14:textId="77777777" w:rsidR="000F7756" w:rsidRDefault="000F7756" w:rsidP="000F7756">
      <w:pPr>
        <w:pStyle w:val="Odlomakpopisa"/>
        <w:numPr>
          <w:ilvl w:val="0"/>
          <w:numId w:val="2"/>
        </w:numPr>
        <w:rPr>
          <w:sz w:val="22"/>
          <w:szCs w:val="22"/>
        </w:rPr>
      </w:pPr>
      <w:r>
        <w:rPr>
          <w:sz w:val="22"/>
          <w:szCs w:val="22"/>
        </w:rPr>
        <w:t xml:space="preserve">kratkoročne obveze po „okvirnom kreditu“ ZABE u iznosu od 1.252.465,27 kn koji moramo podmiriti do 21.03.2023. </w:t>
      </w:r>
    </w:p>
    <w:p w14:paraId="4DCF9966" w14:textId="77777777" w:rsidR="000F7756" w:rsidRDefault="000F7756" w:rsidP="000F7756">
      <w:pPr>
        <w:pStyle w:val="Odlomakpopisa"/>
        <w:numPr>
          <w:ilvl w:val="0"/>
          <w:numId w:val="2"/>
        </w:numPr>
        <w:rPr>
          <w:sz w:val="22"/>
          <w:szCs w:val="22"/>
        </w:rPr>
      </w:pPr>
      <w:r>
        <w:rPr>
          <w:sz w:val="22"/>
          <w:szCs w:val="22"/>
        </w:rPr>
        <w:t xml:space="preserve">dugoročni kredit od Croatia banke </w:t>
      </w:r>
      <w:proofErr w:type="spellStart"/>
      <w:r>
        <w:rPr>
          <w:sz w:val="22"/>
          <w:szCs w:val="22"/>
        </w:rPr>
        <w:t>dd</w:t>
      </w:r>
      <w:proofErr w:type="spellEnd"/>
      <w:r>
        <w:rPr>
          <w:sz w:val="22"/>
          <w:szCs w:val="22"/>
        </w:rPr>
        <w:t xml:space="preserve"> za katastarsku izmjeru u iznosu od 279.012,12 kn koji moramo podmiriti do 31.12.2022.g. (još 2 rate)</w:t>
      </w:r>
    </w:p>
    <w:p w14:paraId="303CC528" w14:textId="77777777" w:rsidR="000F7756" w:rsidRDefault="000F7756" w:rsidP="000F7756">
      <w:pPr>
        <w:pStyle w:val="Odlomakpopisa"/>
        <w:numPr>
          <w:ilvl w:val="0"/>
          <w:numId w:val="2"/>
        </w:numPr>
        <w:rPr>
          <w:sz w:val="22"/>
          <w:szCs w:val="22"/>
        </w:rPr>
      </w:pPr>
      <w:r>
        <w:rPr>
          <w:sz w:val="22"/>
          <w:szCs w:val="22"/>
        </w:rPr>
        <w:t>dugoročni kredit ZABE za izgradnju dječjeg vrtića u iznosu od 9.416.666,62 kn koji moramo podmiriti do 30.11.2031.g.</w:t>
      </w:r>
    </w:p>
    <w:p w14:paraId="266466F9" w14:textId="77777777" w:rsidR="000F7756" w:rsidRDefault="000F7756" w:rsidP="000F7756">
      <w:pPr>
        <w:pStyle w:val="Odlomakpopisa"/>
        <w:numPr>
          <w:ilvl w:val="0"/>
          <w:numId w:val="2"/>
        </w:numPr>
        <w:rPr>
          <w:sz w:val="22"/>
          <w:szCs w:val="22"/>
        </w:rPr>
      </w:pPr>
      <w:r>
        <w:rPr>
          <w:sz w:val="22"/>
          <w:szCs w:val="22"/>
        </w:rPr>
        <w:t>kratkoročni kredit ZABI za premošćivanje jaza između prihoda i rashoda u iznosu od 1.900.000,00 kn koji moramo podmiriti do 25.10.2022.g. (isto je korišten za podmirenje obveze izvođačima radova za izgradnju dječjeg vrtića, izgradnju škole u Svetom Iliji i aglomeracije Varaždin)</w:t>
      </w:r>
    </w:p>
    <w:p w14:paraId="74CF3752" w14:textId="77777777" w:rsidR="000F7756" w:rsidRDefault="000F7756" w:rsidP="000F7756">
      <w:pPr>
        <w:pStyle w:val="Odlomakpopisa"/>
        <w:numPr>
          <w:ilvl w:val="0"/>
          <w:numId w:val="2"/>
        </w:numPr>
        <w:rPr>
          <w:sz w:val="22"/>
          <w:szCs w:val="22"/>
        </w:rPr>
      </w:pPr>
      <w:r>
        <w:rPr>
          <w:sz w:val="22"/>
          <w:szCs w:val="22"/>
        </w:rPr>
        <w:t>obveze za zajmove od državnog proračuna-kratkoročne u iznosu od 1.101.245,37 kn i to za:</w:t>
      </w:r>
    </w:p>
    <w:p w14:paraId="4C8A2EF6" w14:textId="77777777" w:rsidR="000F7756" w:rsidRDefault="000F7756" w:rsidP="000F7756">
      <w:pPr>
        <w:pStyle w:val="Odlomakpopisa"/>
        <w:rPr>
          <w:sz w:val="22"/>
          <w:szCs w:val="22"/>
        </w:rPr>
      </w:pPr>
      <w:r>
        <w:rPr>
          <w:sz w:val="22"/>
          <w:szCs w:val="22"/>
        </w:rPr>
        <w:t>nedostatna sredstva zajma za povrat poreza u iznosu od 1.005.932,02 kn i  zajam za odgođena plaćanja u iznosu od 95.313,35 kn</w:t>
      </w:r>
    </w:p>
    <w:p w14:paraId="6C387C0A" w14:textId="77777777" w:rsidR="000F7756" w:rsidRDefault="000F7756" w:rsidP="000F7756">
      <w:pPr>
        <w:pStyle w:val="Odlomakpopisa"/>
        <w:numPr>
          <w:ilvl w:val="0"/>
          <w:numId w:val="2"/>
        </w:numPr>
        <w:rPr>
          <w:sz w:val="22"/>
          <w:szCs w:val="22"/>
        </w:rPr>
      </w:pPr>
      <w:r>
        <w:rPr>
          <w:sz w:val="22"/>
          <w:szCs w:val="22"/>
        </w:rPr>
        <w:t xml:space="preserve">i ostale obveze (plaće za zaposlene, </w:t>
      </w:r>
      <w:proofErr w:type="spellStart"/>
      <w:r>
        <w:rPr>
          <w:sz w:val="22"/>
          <w:szCs w:val="22"/>
        </w:rPr>
        <w:t>el.energije</w:t>
      </w:r>
      <w:proofErr w:type="spellEnd"/>
      <w:r>
        <w:rPr>
          <w:sz w:val="22"/>
          <w:szCs w:val="22"/>
        </w:rPr>
        <w:t>, komunalne usluge, sufinanciranje vrtića i ostali rashodi poslovanja) u iznosu od 616.338,04 kn</w:t>
      </w:r>
    </w:p>
    <w:p w14:paraId="4DFB8252" w14:textId="77777777" w:rsidR="000F7756" w:rsidRPr="00241AE7" w:rsidRDefault="000F7756" w:rsidP="000F7756">
      <w:pPr>
        <w:ind w:left="360"/>
        <w:rPr>
          <w:sz w:val="22"/>
          <w:szCs w:val="22"/>
        </w:rPr>
      </w:pPr>
      <w:r>
        <w:rPr>
          <w:sz w:val="22"/>
          <w:szCs w:val="22"/>
        </w:rPr>
        <w:t>iznos od 126.292,30 kn za zaposlene u dječjem vrtiću</w:t>
      </w:r>
    </w:p>
    <w:p w14:paraId="203F1B42" w14:textId="6236C414" w:rsidR="000F7756" w:rsidRDefault="000F7756" w:rsidP="00141FB1">
      <w:pPr>
        <w:jc w:val="both"/>
        <w:rPr>
          <w:sz w:val="22"/>
          <w:szCs w:val="22"/>
        </w:rPr>
      </w:pPr>
    </w:p>
    <w:p w14:paraId="6A0D0F33" w14:textId="13DE4064" w:rsidR="000F7756" w:rsidRDefault="00E62046" w:rsidP="00141FB1">
      <w:pPr>
        <w:jc w:val="both"/>
        <w:rPr>
          <w:sz w:val="22"/>
          <w:szCs w:val="22"/>
        </w:rPr>
      </w:pPr>
      <w:r>
        <w:rPr>
          <w:sz w:val="22"/>
          <w:szCs w:val="22"/>
        </w:rPr>
        <w:t>OBJAŠNJENJE ZBOG NASTALOG MANJKA PRIHODA NAD RASHODIMA</w:t>
      </w:r>
    </w:p>
    <w:bookmarkEnd w:id="2"/>
    <w:p w14:paraId="69934637" w14:textId="77777777" w:rsidR="00890004" w:rsidRPr="00890004" w:rsidRDefault="00890004" w:rsidP="00890004">
      <w:pPr>
        <w:jc w:val="both"/>
        <w:rPr>
          <w:sz w:val="22"/>
          <w:szCs w:val="22"/>
        </w:rPr>
      </w:pPr>
      <w:r w:rsidRPr="00890004">
        <w:rPr>
          <w:sz w:val="22"/>
          <w:szCs w:val="22"/>
        </w:rPr>
        <w:t>Općina Sveti Ilija je u 2021.g. imala velike kapitalne projekte od važnosti za općinu i to izgradnju dječjeg vrtića za 100 djece (do sada nismo imali niti jedan dječji vrtić na svojem području), izgradnju nove osnovne škole (financirane iz državnog proračuna 80%, županije 15% i općine 5%), aglomeracije Varaždin i kanalizacijsku mrežu u naselju Sveti Ilija kako bi se nova škola mogla priključiti na istu.</w:t>
      </w:r>
    </w:p>
    <w:p w14:paraId="51F9A729" w14:textId="77777777" w:rsidR="00890004" w:rsidRPr="00890004" w:rsidRDefault="00890004" w:rsidP="00890004">
      <w:pPr>
        <w:jc w:val="both"/>
        <w:rPr>
          <w:sz w:val="22"/>
          <w:szCs w:val="22"/>
        </w:rPr>
      </w:pPr>
      <w:r w:rsidRPr="00890004">
        <w:rPr>
          <w:sz w:val="22"/>
          <w:szCs w:val="22"/>
        </w:rPr>
        <w:t xml:space="preserve">Općina Sveti Ilija je dobila Odluku o financiranju od Agencije za plaćanja u poljoprivredi, ribarstvu i ruralnom razvoju 07.08.2020.g. na iznos od 7.412.500 kn, a dobili smo za izgradnju predujam 50%, znači još trebamo dobiti u 2022.g. drugih 50% iznosa. </w:t>
      </w:r>
    </w:p>
    <w:p w14:paraId="718EC168" w14:textId="77777777" w:rsidR="00890004" w:rsidRPr="00890004" w:rsidRDefault="00890004" w:rsidP="00890004">
      <w:pPr>
        <w:jc w:val="both"/>
        <w:rPr>
          <w:sz w:val="22"/>
          <w:szCs w:val="22"/>
        </w:rPr>
      </w:pPr>
      <w:r w:rsidRPr="00890004">
        <w:rPr>
          <w:sz w:val="22"/>
          <w:szCs w:val="22"/>
        </w:rPr>
        <w:t>Također Općina Sveti Ilija je sklopila Ugovor o sufinanciranju provedbe EU projekta sa Ministarstvom regionalnog razvoja i fondova EU, od 05.10.2021.g. za izgradnju vrtića na iznos od 3.377.849,27 kn od kojeg je Općina dobila 10% predujma.</w:t>
      </w:r>
    </w:p>
    <w:p w14:paraId="0C9EBA1B" w14:textId="3545D154" w:rsidR="00890004" w:rsidRDefault="00890004" w:rsidP="00890004">
      <w:pPr>
        <w:jc w:val="both"/>
        <w:rPr>
          <w:sz w:val="22"/>
          <w:szCs w:val="22"/>
        </w:rPr>
      </w:pPr>
      <w:r w:rsidRPr="00890004">
        <w:rPr>
          <w:sz w:val="22"/>
          <w:szCs w:val="22"/>
        </w:rPr>
        <w:lastRenderedPageBreak/>
        <w:t>Sam projekt izgradnje vrtića koštao je 14.899 milijuna kuna što je rezultiralo zaduženjem općine. Zbog nedostatka financijskih sredstava nastao je manjak prihoda nad rashodima.</w:t>
      </w:r>
    </w:p>
    <w:p w14:paraId="527C4D52" w14:textId="09DFB200" w:rsidR="007A65D4" w:rsidRPr="00890004" w:rsidRDefault="00EF05D0" w:rsidP="00890004">
      <w:pPr>
        <w:jc w:val="both"/>
        <w:rPr>
          <w:sz w:val="22"/>
          <w:szCs w:val="22"/>
        </w:rPr>
      </w:pPr>
      <w:r>
        <w:rPr>
          <w:sz w:val="22"/>
          <w:szCs w:val="22"/>
        </w:rPr>
        <w:t xml:space="preserve">Općina Sveti Ilija je 01.02.2022. uputila konačni Zahtjev za isplatu Agenciji </w:t>
      </w:r>
      <w:r w:rsidR="00F3575C">
        <w:rPr>
          <w:sz w:val="22"/>
          <w:szCs w:val="22"/>
        </w:rPr>
        <w:t>za plaćanje u poljoprivredi, ribarstvu i ruralnom razvoju. Terenska</w:t>
      </w:r>
      <w:r w:rsidR="0018219A">
        <w:rPr>
          <w:sz w:val="22"/>
          <w:szCs w:val="22"/>
        </w:rPr>
        <w:t xml:space="preserve"> i financijska</w:t>
      </w:r>
      <w:r w:rsidR="00F3575C">
        <w:rPr>
          <w:sz w:val="22"/>
          <w:szCs w:val="22"/>
        </w:rPr>
        <w:t xml:space="preserve"> kontrola je također zavr</w:t>
      </w:r>
      <w:r w:rsidR="00600A64">
        <w:rPr>
          <w:sz w:val="22"/>
          <w:szCs w:val="22"/>
        </w:rPr>
        <w:t>š</w:t>
      </w:r>
      <w:r w:rsidR="0018219A">
        <w:rPr>
          <w:sz w:val="22"/>
          <w:szCs w:val="22"/>
        </w:rPr>
        <w:t>ena</w:t>
      </w:r>
      <w:r w:rsidR="00600A64">
        <w:rPr>
          <w:sz w:val="22"/>
          <w:szCs w:val="22"/>
        </w:rPr>
        <w:t>.</w:t>
      </w:r>
    </w:p>
    <w:p w14:paraId="40565315" w14:textId="5C6C60DA" w:rsidR="00890004" w:rsidRDefault="00600A64" w:rsidP="00890004">
      <w:pPr>
        <w:jc w:val="both"/>
        <w:rPr>
          <w:sz w:val="22"/>
          <w:szCs w:val="22"/>
        </w:rPr>
      </w:pPr>
      <w:r>
        <w:rPr>
          <w:sz w:val="22"/>
          <w:szCs w:val="22"/>
        </w:rPr>
        <w:t>Stoga očekujemo ostatak isplaćenih sredstava</w:t>
      </w:r>
      <w:r w:rsidR="00890004" w:rsidRPr="00890004">
        <w:rPr>
          <w:sz w:val="22"/>
          <w:szCs w:val="22"/>
        </w:rPr>
        <w:t xml:space="preserve"> nakon kontrole stvarno prihvaćenih troškova EU projekta</w:t>
      </w:r>
      <w:r w:rsidR="0018219A">
        <w:rPr>
          <w:sz w:val="22"/>
          <w:szCs w:val="22"/>
        </w:rPr>
        <w:t>.</w:t>
      </w:r>
    </w:p>
    <w:p w14:paraId="1330831E" w14:textId="4722E2B3" w:rsidR="00EA2C60" w:rsidRDefault="00EA2C60" w:rsidP="00890004">
      <w:pPr>
        <w:jc w:val="both"/>
        <w:rPr>
          <w:sz w:val="22"/>
          <w:szCs w:val="22"/>
        </w:rPr>
      </w:pPr>
    </w:p>
    <w:p w14:paraId="205FCDD6" w14:textId="1668584C" w:rsidR="00EA2C60" w:rsidRDefault="00EA2C60" w:rsidP="00890004">
      <w:pPr>
        <w:jc w:val="both"/>
        <w:rPr>
          <w:sz w:val="22"/>
          <w:szCs w:val="22"/>
        </w:rPr>
      </w:pPr>
    </w:p>
    <w:p w14:paraId="3C100F03" w14:textId="3683A380" w:rsidR="00EA2C60" w:rsidRDefault="00EA2C60" w:rsidP="0089000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C6064">
        <w:rPr>
          <w:sz w:val="22"/>
          <w:szCs w:val="22"/>
        </w:rPr>
        <w:t>Predsjednik Općinskog vijeća</w:t>
      </w:r>
    </w:p>
    <w:p w14:paraId="3054DBE5" w14:textId="32DE4FEB" w:rsidR="00EA2C60" w:rsidRPr="00890004" w:rsidRDefault="00EA2C60" w:rsidP="0089000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C6064">
        <w:rPr>
          <w:sz w:val="22"/>
          <w:szCs w:val="22"/>
        </w:rPr>
        <w:t>Dean Hrastić</w:t>
      </w:r>
      <w:r>
        <w:rPr>
          <w:sz w:val="22"/>
          <w:szCs w:val="22"/>
        </w:rPr>
        <w:t xml:space="preserve">, </w:t>
      </w:r>
      <w:proofErr w:type="spellStart"/>
      <w:r>
        <w:rPr>
          <w:sz w:val="22"/>
          <w:szCs w:val="22"/>
        </w:rPr>
        <w:t>dipl.ing</w:t>
      </w:r>
      <w:proofErr w:type="spellEnd"/>
      <w:r>
        <w:rPr>
          <w:sz w:val="22"/>
          <w:szCs w:val="22"/>
        </w:rPr>
        <w:t>.</w:t>
      </w:r>
    </w:p>
    <w:p w14:paraId="4ABE2C16" w14:textId="77777777" w:rsidR="00890004" w:rsidRPr="00890004" w:rsidRDefault="00890004" w:rsidP="00890004">
      <w:pPr>
        <w:jc w:val="both"/>
        <w:rPr>
          <w:sz w:val="22"/>
          <w:szCs w:val="22"/>
        </w:rPr>
      </w:pPr>
    </w:p>
    <w:p w14:paraId="37F9ED5E" w14:textId="77777777" w:rsidR="00936FDA" w:rsidRPr="002B2780" w:rsidRDefault="00936FDA" w:rsidP="00936FDA">
      <w:pPr>
        <w:rPr>
          <w:b/>
          <w:bCs/>
        </w:rPr>
      </w:pPr>
    </w:p>
    <w:sectPr w:rsidR="00936FDA" w:rsidRPr="002B278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4FF3" w14:textId="77777777" w:rsidR="00E9328B" w:rsidRDefault="00E9328B" w:rsidP="000B5633">
      <w:r>
        <w:separator/>
      </w:r>
    </w:p>
  </w:endnote>
  <w:endnote w:type="continuationSeparator" w:id="0">
    <w:p w14:paraId="69491B16" w14:textId="77777777" w:rsidR="00E9328B" w:rsidRDefault="00E9328B" w:rsidP="000B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ABEE" w14:textId="77777777" w:rsidR="000B5633" w:rsidRDefault="000B563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562340"/>
      <w:docPartObj>
        <w:docPartGallery w:val="Page Numbers (Bottom of Page)"/>
        <w:docPartUnique/>
      </w:docPartObj>
    </w:sdtPr>
    <w:sdtContent>
      <w:p w14:paraId="4781EEDD" w14:textId="63CC76E7" w:rsidR="000B5633" w:rsidRDefault="000B5633">
        <w:pPr>
          <w:pStyle w:val="Podnoje"/>
          <w:jc w:val="right"/>
        </w:pPr>
        <w:r>
          <w:fldChar w:fldCharType="begin"/>
        </w:r>
        <w:r>
          <w:instrText>PAGE   \* MERGEFORMAT</w:instrText>
        </w:r>
        <w:r>
          <w:fldChar w:fldCharType="separate"/>
        </w:r>
        <w:r>
          <w:t>2</w:t>
        </w:r>
        <w:r>
          <w:fldChar w:fldCharType="end"/>
        </w:r>
      </w:p>
    </w:sdtContent>
  </w:sdt>
  <w:p w14:paraId="17FE5458" w14:textId="77777777" w:rsidR="000B5633" w:rsidRDefault="000B563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8B3A" w14:textId="77777777" w:rsidR="000B5633" w:rsidRDefault="000B563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C1BF" w14:textId="77777777" w:rsidR="00E9328B" w:rsidRDefault="00E9328B" w:rsidP="000B5633">
      <w:r>
        <w:separator/>
      </w:r>
    </w:p>
  </w:footnote>
  <w:footnote w:type="continuationSeparator" w:id="0">
    <w:p w14:paraId="52601051" w14:textId="77777777" w:rsidR="00E9328B" w:rsidRDefault="00E9328B" w:rsidP="000B5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EB93" w14:textId="77777777" w:rsidR="000B5633" w:rsidRDefault="000B563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8595" w14:textId="77777777" w:rsidR="000B5633" w:rsidRDefault="000B563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2CD8" w14:textId="77777777" w:rsidR="000B5633" w:rsidRDefault="000B563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E0148"/>
    <w:multiLevelType w:val="hybridMultilevel"/>
    <w:tmpl w:val="83B07E8A"/>
    <w:lvl w:ilvl="0" w:tplc="4BFEDBB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EC621B"/>
    <w:multiLevelType w:val="hybridMultilevel"/>
    <w:tmpl w:val="C5223372"/>
    <w:lvl w:ilvl="0" w:tplc="EE1C6008">
      <w:start w:val="1"/>
      <w:numFmt w:val="bullet"/>
      <w:lvlText w:val="•"/>
      <w:lvlJc w:val="left"/>
      <w:pPr>
        <w:tabs>
          <w:tab w:val="num" w:pos="720"/>
        </w:tabs>
        <w:ind w:left="720" w:hanging="360"/>
      </w:pPr>
      <w:rPr>
        <w:rFonts w:ascii="Arial" w:hAnsi="Arial" w:cs="Times New Roman" w:hint="default"/>
      </w:rPr>
    </w:lvl>
    <w:lvl w:ilvl="1" w:tplc="6DB43092">
      <w:start w:val="1"/>
      <w:numFmt w:val="bullet"/>
      <w:lvlText w:val="•"/>
      <w:lvlJc w:val="left"/>
      <w:pPr>
        <w:tabs>
          <w:tab w:val="num" w:pos="1440"/>
        </w:tabs>
        <w:ind w:left="1440" w:hanging="360"/>
      </w:pPr>
      <w:rPr>
        <w:rFonts w:ascii="Arial" w:hAnsi="Arial" w:cs="Times New Roman" w:hint="default"/>
      </w:rPr>
    </w:lvl>
    <w:lvl w:ilvl="2" w:tplc="C2527C12">
      <w:start w:val="1"/>
      <w:numFmt w:val="bullet"/>
      <w:lvlText w:val="•"/>
      <w:lvlJc w:val="left"/>
      <w:pPr>
        <w:tabs>
          <w:tab w:val="num" w:pos="2160"/>
        </w:tabs>
        <w:ind w:left="2160" w:hanging="360"/>
      </w:pPr>
      <w:rPr>
        <w:rFonts w:ascii="Arial" w:hAnsi="Arial" w:cs="Times New Roman" w:hint="default"/>
      </w:rPr>
    </w:lvl>
    <w:lvl w:ilvl="3" w:tplc="1C869026">
      <w:start w:val="1"/>
      <w:numFmt w:val="bullet"/>
      <w:lvlText w:val="•"/>
      <w:lvlJc w:val="left"/>
      <w:pPr>
        <w:tabs>
          <w:tab w:val="num" w:pos="2880"/>
        </w:tabs>
        <w:ind w:left="2880" w:hanging="360"/>
      </w:pPr>
      <w:rPr>
        <w:rFonts w:ascii="Arial" w:hAnsi="Arial" w:cs="Times New Roman" w:hint="default"/>
      </w:rPr>
    </w:lvl>
    <w:lvl w:ilvl="4" w:tplc="780CBFE8">
      <w:start w:val="1"/>
      <w:numFmt w:val="bullet"/>
      <w:lvlText w:val="•"/>
      <w:lvlJc w:val="left"/>
      <w:pPr>
        <w:tabs>
          <w:tab w:val="num" w:pos="3600"/>
        </w:tabs>
        <w:ind w:left="3600" w:hanging="360"/>
      </w:pPr>
      <w:rPr>
        <w:rFonts w:ascii="Arial" w:hAnsi="Arial" w:cs="Times New Roman" w:hint="default"/>
      </w:rPr>
    </w:lvl>
    <w:lvl w:ilvl="5" w:tplc="B1AE0168">
      <w:start w:val="1"/>
      <w:numFmt w:val="bullet"/>
      <w:lvlText w:val="•"/>
      <w:lvlJc w:val="left"/>
      <w:pPr>
        <w:tabs>
          <w:tab w:val="num" w:pos="4320"/>
        </w:tabs>
        <w:ind w:left="4320" w:hanging="360"/>
      </w:pPr>
      <w:rPr>
        <w:rFonts w:ascii="Arial" w:hAnsi="Arial" w:cs="Times New Roman" w:hint="default"/>
      </w:rPr>
    </w:lvl>
    <w:lvl w:ilvl="6" w:tplc="39525570">
      <w:start w:val="1"/>
      <w:numFmt w:val="bullet"/>
      <w:lvlText w:val="•"/>
      <w:lvlJc w:val="left"/>
      <w:pPr>
        <w:tabs>
          <w:tab w:val="num" w:pos="5040"/>
        </w:tabs>
        <w:ind w:left="5040" w:hanging="360"/>
      </w:pPr>
      <w:rPr>
        <w:rFonts w:ascii="Arial" w:hAnsi="Arial" w:cs="Times New Roman" w:hint="default"/>
      </w:rPr>
    </w:lvl>
    <w:lvl w:ilvl="7" w:tplc="109EFB70">
      <w:start w:val="1"/>
      <w:numFmt w:val="bullet"/>
      <w:lvlText w:val="•"/>
      <w:lvlJc w:val="left"/>
      <w:pPr>
        <w:tabs>
          <w:tab w:val="num" w:pos="5760"/>
        </w:tabs>
        <w:ind w:left="5760" w:hanging="360"/>
      </w:pPr>
      <w:rPr>
        <w:rFonts w:ascii="Arial" w:hAnsi="Arial" w:cs="Times New Roman" w:hint="default"/>
      </w:rPr>
    </w:lvl>
    <w:lvl w:ilvl="8" w:tplc="BAA84EA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14F06FC"/>
    <w:multiLevelType w:val="hybridMultilevel"/>
    <w:tmpl w:val="8F8C7706"/>
    <w:lvl w:ilvl="0" w:tplc="5EF2FD22">
      <w:start w:val="6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600025512">
    <w:abstractNumId w:val="0"/>
  </w:num>
  <w:num w:numId="2" w16cid:durableId="600913787">
    <w:abstractNumId w:val="2"/>
  </w:num>
  <w:num w:numId="3" w16cid:durableId="1287659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FC"/>
    <w:rsid w:val="00001247"/>
    <w:rsid w:val="00002573"/>
    <w:rsid w:val="00010E7F"/>
    <w:rsid w:val="0001396B"/>
    <w:rsid w:val="000209A3"/>
    <w:rsid w:val="00022FE9"/>
    <w:rsid w:val="000269EE"/>
    <w:rsid w:val="00027D7F"/>
    <w:rsid w:val="0003053D"/>
    <w:rsid w:val="00030F64"/>
    <w:rsid w:val="000503E9"/>
    <w:rsid w:val="00053292"/>
    <w:rsid w:val="000567B7"/>
    <w:rsid w:val="0006331A"/>
    <w:rsid w:val="00072E6B"/>
    <w:rsid w:val="00073A83"/>
    <w:rsid w:val="000760E3"/>
    <w:rsid w:val="00081989"/>
    <w:rsid w:val="0008330E"/>
    <w:rsid w:val="00083784"/>
    <w:rsid w:val="00085278"/>
    <w:rsid w:val="000938A5"/>
    <w:rsid w:val="000969BF"/>
    <w:rsid w:val="00097E8B"/>
    <w:rsid w:val="000B451C"/>
    <w:rsid w:val="000B5633"/>
    <w:rsid w:val="000B56BE"/>
    <w:rsid w:val="000C1AB5"/>
    <w:rsid w:val="000C591F"/>
    <w:rsid w:val="000D5DC8"/>
    <w:rsid w:val="000E01A4"/>
    <w:rsid w:val="000E1BD0"/>
    <w:rsid w:val="000E7986"/>
    <w:rsid w:val="000F069E"/>
    <w:rsid w:val="000F7756"/>
    <w:rsid w:val="00103AB0"/>
    <w:rsid w:val="001043A4"/>
    <w:rsid w:val="00111259"/>
    <w:rsid w:val="0011306D"/>
    <w:rsid w:val="0013552F"/>
    <w:rsid w:val="00141FB1"/>
    <w:rsid w:val="00153598"/>
    <w:rsid w:val="00157876"/>
    <w:rsid w:val="00165DBC"/>
    <w:rsid w:val="001722ED"/>
    <w:rsid w:val="00181F6E"/>
    <w:rsid w:val="0018219A"/>
    <w:rsid w:val="001826EF"/>
    <w:rsid w:val="00184C8B"/>
    <w:rsid w:val="00187196"/>
    <w:rsid w:val="00194ED7"/>
    <w:rsid w:val="00197454"/>
    <w:rsid w:val="001A02C2"/>
    <w:rsid w:val="001B1FAB"/>
    <w:rsid w:val="001B212E"/>
    <w:rsid w:val="001B4C82"/>
    <w:rsid w:val="001D7740"/>
    <w:rsid w:val="001F054C"/>
    <w:rsid w:val="002020B3"/>
    <w:rsid w:val="0021171D"/>
    <w:rsid w:val="00214B50"/>
    <w:rsid w:val="00224175"/>
    <w:rsid w:val="00225C35"/>
    <w:rsid w:val="00226E8C"/>
    <w:rsid w:val="00240582"/>
    <w:rsid w:val="00241AE7"/>
    <w:rsid w:val="00247C25"/>
    <w:rsid w:val="002516D2"/>
    <w:rsid w:val="00255657"/>
    <w:rsid w:val="00262FEB"/>
    <w:rsid w:val="00274417"/>
    <w:rsid w:val="00293B4E"/>
    <w:rsid w:val="002B2780"/>
    <w:rsid w:val="002B4902"/>
    <w:rsid w:val="002B7BFC"/>
    <w:rsid w:val="002C44A7"/>
    <w:rsid w:val="002D0FC2"/>
    <w:rsid w:val="002D29A9"/>
    <w:rsid w:val="002D3631"/>
    <w:rsid w:val="002E296D"/>
    <w:rsid w:val="002F637E"/>
    <w:rsid w:val="002F6B74"/>
    <w:rsid w:val="0030019B"/>
    <w:rsid w:val="00302746"/>
    <w:rsid w:val="00337F33"/>
    <w:rsid w:val="003405CB"/>
    <w:rsid w:val="0035131C"/>
    <w:rsid w:val="0036528E"/>
    <w:rsid w:val="00371001"/>
    <w:rsid w:val="003744BE"/>
    <w:rsid w:val="003759D8"/>
    <w:rsid w:val="00384A00"/>
    <w:rsid w:val="00385AF8"/>
    <w:rsid w:val="003900FC"/>
    <w:rsid w:val="00393BAD"/>
    <w:rsid w:val="003940BB"/>
    <w:rsid w:val="003A639C"/>
    <w:rsid w:val="003B12EC"/>
    <w:rsid w:val="003B2B4E"/>
    <w:rsid w:val="003B5C5C"/>
    <w:rsid w:val="003D0692"/>
    <w:rsid w:val="003D402E"/>
    <w:rsid w:val="003E2161"/>
    <w:rsid w:val="003E2474"/>
    <w:rsid w:val="003E41C3"/>
    <w:rsid w:val="003F7A07"/>
    <w:rsid w:val="00412353"/>
    <w:rsid w:val="00420123"/>
    <w:rsid w:val="0042044D"/>
    <w:rsid w:val="00420E82"/>
    <w:rsid w:val="0042122A"/>
    <w:rsid w:val="00433703"/>
    <w:rsid w:val="004355B8"/>
    <w:rsid w:val="00443BC6"/>
    <w:rsid w:val="00444807"/>
    <w:rsid w:val="00451F34"/>
    <w:rsid w:val="004520F5"/>
    <w:rsid w:val="004614C6"/>
    <w:rsid w:val="00475499"/>
    <w:rsid w:val="00477E57"/>
    <w:rsid w:val="004912EC"/>
    <w:rsid w:val="004913DD"/>
    <w:rsid w:val="004938C9"/>
    <w:rsid w:val="004A0A2F"/>
    <w:rsid w:val="004A1556"/>
    <w:rsid w:val="004A45BE"/>
    <w:rsid w:val="004B4F50"/>
    <w:rsid w:val="004C4904"/>
    <w:rsid w:val="004C64E1"/>
    <w:rsid w:val="004C6F40"/>
    <w:rsid w:val="004E5021"/>
    <w:rsid w:val="004E6B31"/>
    <w:rsid w:val="004F3A10"/>
    <w:rsid w:val="004F58D6"/>
    <w:rsid w:val="0051041B"/>
    <w:rsid w:val="00514B5A"/>
    <w:rsid w:val="00517B00"/>
    <w:rsid w:val="00525D16"/>
    <w:rsid w:val="00533F3D"/>
    <w:rsid w:val="00542AAC"/>
    <w:rsid w:val="00543280"/>
    <w:rsid w:val="00563C86"/>
    <w:rsid w:val="0057557F"/>
    <w:rsid w:val="00587573"/>
    <w:rsid w:val="00590C2B"/>
    <w:rsid w:val="005A5BD7"/>
    <w:rsid w:val="005B07F9"/>
    <w:rsid w:val="005B718B"/>
    <w:rsid w:val="005C20C7"/>
    <w:rsid w:val="005C3A71"/>
    <w:rsid w:val="005C4562"/>
    <w:rsid w:val="005E23E2"/>
    <w:rsid w:val="00600A64"/>
    <w:rsid w:val="006109EC"/>
    <w:rsid w:val="00613697"/>
    <w:rsid w:val="00621CF3"/>
    <w:rsid w:val="0063274C"/>
    <w:rsid w:val="006343CF"/>
    <w:rsid w:val="00636382"/>
    <w:rsid w:val="00636C63"/>
    <w:rsid w:val="00640F19"/>
    <w:rsid w:val="0065255B"/>
    <w:rsid w:val="00653951"/>
    <w:rsid w:val="00667B6B"/>
    <w:rsid w:val="00676E62"/>
    <w:rsid w:val="00682616"/>
    <w:rsid w:val="006858B4"/>
    <w:rsid w:val="006902CB"/>
    <w:rsid w:val="00690CCD"/>
    <w:rsid w:val="00694C56"/>
    <w:rsid w:val="006953A5"/>
    <w:rsid w:val="006B01EF"/>
    <w:rsid w:val="006B7A6D"/>
    <w:rsid w:val="006C0755"/>
    <w:rsid w:val="006C1DA9"/>
    <w:rsid w:val="006D1852"/>
    <w:rsid w:val="006D5216"/>
    <w:rsid w:val="006E0600"/>
    <w:rsid w:val="006E20DC"/>
    <w:rsid w:val="006E7C6F"/>
    <w:rsid w:val="006F2040"/>
    <w:rsid w:val="006F292B"/>
    <w:rsid w:val="006F7B91"/>
    <w:rsid w:val="00700281"/>
    <w:rsid w:val="007038F6"/>
    <w:rsid w:val="007142A2"/>
    <w:rsid w:val="0071459E"/>
    <w:rsid w:val="00741C23"/>
    <w:rsid w:val="0074268F"/>
    <w:rsid w:val="00744DA9"/>
    <w:rsid w:val="007558B4"/>
    <w:rsid w:val="00772FC5"/>
    <w:rsid w:val="00774E2F"/>
    <w:rsid w:val="007803F8"/>
    <w:rsid w:val="00781CA8"/>
    <w:rsid w:val="00793BCF"/>
    <w:rsid w:val="007944FC"/>
    <w:rsid w:val="00795EEA"/>
    <w:rsid w:val="00795F19"/>
    <w:rsid w:val="007A4DB9"/>
    <w:rsid w:val="007A65D4"/>
    <w:rsid w:val="007B52F2"/>
    <w:rsid w:val="007B6784"/>
    <w:rsid w:val="007D0D3A"/>
    <w:rsid w:val="007E3107"/>
    <w:rsid w:val="007E733C"/>
    <w:rsid w:val="007F6D99"/>
    <w:rsid w:val="00807337"/>
    <w:rsid w:val="00815A12"/>
    <w:rsid w:val="00821279"/>
    <w:rsid w:val="00821F3E"/>
    <w:rsid w:val="008258ED"/>
    <w:rsid w:val="00827881"/>
    <w:rsid w:val="00831CBB"/>
    <w:rsid w:val="00833621"/>
    <w:rsid w:val="00841AB4"/>
    <w:rsid w:val="00843835"/>
    <w:rsid w:val="008529FD"/>
    <w:rsid w:val="008549B8"/>
    <w:rsid w:val="00855E48"/>
    <w:rsid w:val="0086092F"/>
    <w:rsid w:val="008609F7"/>
    <w:rsid w:val="00864C2F"/>
    <w:rsid w:val="00865A54"/>
    <w:rsid w:val="00867DF2"/>
    <w:rsid w:val="00872B8C"/>
    <w:rsid w:val="00882072"/>
    <w:rsid w:val="00887D50"/>
    <w:rsid w:val="00890004"/>
    <w:rsid w:val="008A40A5"/>
    <w:rsid w:val="008B06FB"/>
    <w:rsid w:val="008B31C5"/>
    <w:rsid w:val="008C3023"/>
    <w:rsid w:val="008C4E25"/>
    <w:rsid w:val="008C7464"/>
    <w:rsid w:val="008E4FD7"/>
    <w:rsid w:val="008E57A5"/>
    <w:rsid w:val="008E699D"/>
    <w:rsid w:val="008F65A2"/>
    <w:rsid w:val="009029CB"/>
    <w:rsid w:val="00910DF9"/>
    <w:rsid w:val="009115E1"/>
    <w:rsid w:val="00915128"/>
    <w:rsid w:val="00927438"/>
    <w:rsid w:val="00931B91"/>
    <w:rsid w:val="00936FDA"/>
    <w:rsid w:val="00946CE3"/>
    <w:rsid w:val="0095313F"/>
    <w:rsid w:val="00953810"/>
    <w:rsid w:val="00960821"/>
    <w:rsid w:val="0098637C"/>
    <w:rsid w:val="009A2326"/>
    <w:rsid w:val="009B7313"/>
    <w:rsid w:val="009C01AB"/>
    <w:rsid w:val="009C6B95"/>
    <w:rsid w:val="009D3359"/>
    <w:rsid w:val="009E45AB"/>
    <w:rsid w:val="009F21F2"/>
    <w:rsid w:val="009F36A3"/>
    <w:rsid w:val="009F4F0A"/>
    <w:rsid w:val="00A075EE"/>
    <w:rsid w:val="00A12208"/>
    <w:rsid w:val="00A135F1"/>
    <w:rsid w:val="00A1633D"/>
    <w:rsid w:val="00A2395A"/>
    <w:rsid w:val="00A31A3A"/>
    <w:rsid w:val="00A3719F"/>
    <w:rsid w:val="00A52C6B"/>
    <w:rsid w:val="00A52EDB"/>
    <w:rsid w:val="00A53C22"/>
    <w:rsid w:val="00A7343E"/>
    <w:rsid w:val="00A75CA9"/>
    <w:rsid w:val="00A75EB7"/>
    <w:rsid w:val="00A83E81"/>
    <w:rsid w:val="00A91AEB"/>
    <w:rsid w:val="00A9299A"/>
    <w:rsid w:val="00A943A9"/>
    <w:rsid w:val="00AA1CF0"/>
    <w:rsid w:val="00AB5AB8"/>
    <w:rsid w:val="00AB7B78"/>
    <w:rsid w:val="00AC0863"/>
    <w:rsid w:val="00AC35E4"/>
    <w:rsid w:val="00AC54B7"/>
    <w:rsid w:val="00AC6064"/>
    <w:rsid w:val="00AD08F3"/>
    <w:rsid w:val="00AD376A"/>
    <w:rsid w:val="00AD4FFE"/>
    <w:rsid w:val="00AE3A44"/>
    <w:rsid w:val="00AE42B3"/>
    <w:rsid w:val="00AE4AA3"/>
    <w:rsid w:val="00AF003A"/>
    <w:rsid w:val="00AF6906"/>
    <w:rsid w:val="00AF7458"/>
    <w:rsid w:val="00B435D9"/>
    <w:rsid w:val="00B502B3"/>
    <w:rsid w:val="00B51937"/>
    <w:rsid w:val="00B5385B"/>
    <w:rsid w:val="00B57922"/>
    <w:rsid w:val="00B66A06"/>
    <w:rsid w:val="00B80395"/>
    <w:rsid w:val="00B85582"/>
    <w:rsid w:val="00B95051"/>
    <w:rsid w:val="00BA1914"/>
    <w:rsid w:val="00BB26F7"/>
    <w:rsid w:val="00BB48A7"/>
    <w:rsid w:val="00BC4BBE"/>
    <w:rsid w:val="00BC79DB"/>
    <w:rsid w:val="00BD0A4E"/>
    <w:rsid w:val="00BE1ABE"/>
    <w:rsid w:val="00BE7032"/>
    <w:rsid w:val="00C00C0A"/>
    <w:rsid w:val="00C079C5"/>
    <w:rsid w:val="00C12944"/>
    <w:rsid w:val="00C174B6"/>
    <w:rsid w:val="00C2430E"/>
    <w:rsid w:val="00C315A2"/>
    <w:rsid w:val="00C3181A"/>
    <w:rsid w:val="00C34C09"/>
    <w:rsid w:val="00C36E57"/>
    <w:rsid w:val="00C4372C"/>
    <w:rsid w:val="00C44A3A"/>
    <w:rsid w:val="00C56F10"/>
    <w:rsid w:val="00C72064"/>
    <w:rsid w:val="00C733D4"/>
    <w:rsid w:val="00C74EEA"/>
    <w:rsid w:val="00C8308F"/>
    <w:rsid w:val="00C832FF"/>
    <w:rsid w:val="00C90A04"/>
    <w:rsid w:val="00C915A1"/>
    <w:rsid w:val="00C92FCE"/>
    <w:rsid w:val="00C94617"/>
    <w:rsid w:val="00C963F0"/>
    <w:rsid w:val="00CA07A0"/>
    <w:rsid w:val="00CA090C"/>
    <w:rsid w:val="00CB0669"/>
    <w:rsid w:val="00CB0683"/>
    <w:rsid w:val="00CB6F23"/>
    <w:rsid w:val="00CC262D"/>
    <w:rsid w:val="00CC2DFE"/>
    <w:rsid w:val="00CD0210"/>
    <w:rsid w:val="00CE657D"/>
    <w:rsid w:val="00CE6E41"/>
    <w:rsid w:val="00CF0BA2"/>
    <w:rsid w:val="00CF2156"/>
    <w:rsid w:val="00CF3FE8"/>
    <w:rsid w:val="00D1367B"/>
    <w:rsid w:val="00D20F47"/>
    <w:rsid w:val="00D21360"/>
    <w:rsid w:val="00D25B8E"/>
    <w:rsid w:val="00D260FA"/>
    <w:rsid w:val="00D347B1"/>
    <w:rsid w:val="00D37996"/>
    <w:rsid w:val="00D406B0"/>
    <w:rsid w:val="00D5451D"/>
    <w:rsid w:val="00D56404"/>
    <w:rsid w:val="00D56CB3"/>
    <w:rsid w:val="00D703A7"/>
    <w:rsid w:val="00D734DC"/>
    <w:rsid w:val="00D73664"/>
    <w:rsid w:val="00D75E7D"/>
    <w:rsid w:val="00D92478"/>
    <w:rsid w:val="00D93CF9"/>
    <w:rsid w:val="00D95430"/>
    <w:rsid w:val="00D962AF"/>
    <w:rsid w:val="00DA2ABD"/>
    <w:rsid w:val="00DA38E3"/>
    <w:rsid w:val="00DA50E1"/>
    <w:rsid w:val="00DC5F2A"/>
    <w:rsid w:val="00DC77FE"/>
    <w:rsid w:val="00DD0BCB"/>
    <w:rsid w:val="00DD3DB4"/>
    <w:rsid w:val="00DD5520"/>
    <w:rsid w:val="00DD5877"/>
    <w:rsid w:val="00DE498F"/>
    <w:rsid w:val="00E225E6"/>
    <w:rsid w:val="00E22FFB"/>
    <w:rsid w:val="00E230E7"/>
    <w:rsid w:val="00E275DA"/>
    <w:rsid w:val="00E31F33"/>
    <w:rsid w:val="00E40627"/>
    <w:rsid w:val="00E62046"/>
    <w:rsid w:val="00E801DE"/>
    <w:rsid w:val="00E84A5B"/>
    <w:rsid w:val="00E87D06"/>
    <w:rsid w:val="00E9328B"/>
    <w:rsid w:val="00EA2C60"/>
    <w:rsid w:val="00EA5EED"/>
    <w:rsid w:val="00EB110C"/>
    <w:rsid w:val="00EF05D0"/>
    <w:rsid w:val="00EF6B5D"/>
    <w:rsid w:val="00F02426"/>
    <w:rsid w:val="00F04534"/>
    <w:rsid w:val="00F1744B"/>
    <w:rsid w:val="00F2395C"/>
    <w:rsid w:val="00F3575C"/>
    <w:rsid w:val="00F440C6"/>
    <w:rsid w:val="00F5215D"/>
    <w:rsid w:val="00F52935"/>
    <w:rsid w:val="00F53C12"/>
    <w:rsid w:val="00F543FA"/>
    <w:rsid w:val="00F55BFD"/>
    <w:rsid w:val="00F9243C"/>
    <w:rsid w:val="00FB46E4"/>
    <w:rsid w:val="00FB6C36"/>
    <w:rsid w:val="00FB76E3"/>
    <w:rsid w:val="00FB7886"/>
    <w:rsid w:val="00FC7087"/>
    <w:rsid w:val="00FE59EA"/>
    <w:rsid w:val="00FE7D35"/>
    <w:rsid w:val="00FF121A"/>
    <w:rsid w:val="00FF1719"/>
    <w:rsid w:val="00FF34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16C3"/>
  <w15:chartTrackingRefBased/>
  <w15:docId w15:val="{3F1C4B90-C266-4E69-9309-74399B9C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0FC"/>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rsid w:val="003900FC"/>
    <w:pPr>
      <w:jc w:val="center"/>
    </w:pPr>
    <w:rPr>
      <w:b/>
      <w:bCs/>
    </w:rPr>
  </w:style>
  <w:style w:type="character" w:customStyle="1" w:styleId="TijelotekstaChar">
    <w:name w:val="Tijelo teksta Char"/>
    <w:basedOn w:val="Zadanifontodlomka"/>
    <w:link w:val="Tijeloteksta"/>
    <w:semiHidden/>
    <w:rsid w:val="003900FC"/>
    <w:rPr>
      <w:rFonts w:ascii="Times New Roman" w:eastAsia="Times New Roman" w:hAnsi="Times New Roman" w:cs="Times New Roman"/>
      <w:b/>
      <w:bCs/>
      <w:sz w:val="24"/>
      <w:szCs w:val="24"/>
    </w:rPr>
  </w:style>
  <w:style w:type="paragraph" w:styleId="Odlomakpopisa">
    <w:name w:val="List Paragraph"/>
    <w:basedOn w:val="Normal"/>
    <w:uiPriority w:val="34"/>
    <w:qFormat/>
    <w:rsid w:val="005B07F9"/>
    <w:pPr>
      <w:ind w:left="720"/>
      <w:contextualSpacing/>
    </w:pPr>
  </w:style>
  <w:style w:type="paragraph" w:styleId="Zaglavlje">
    <w:name w:val="header"/>
    <w:basedOn w:val="Normal"/>
    <w:link w:val="ZaglavljeChar"/>
    <w:uiPriority w:val="99"/>
    <w:unhideWhenUsed/>
    <w:rsid w:val="000B5633"/>
    <w:pPr>
      <w:tabs>
        <w:tab w:val="center" w:pos="4536"/>
        <w:tab w:val="right" w:pos="9072"/>
      </w:tabs>
    </w:pPr>
  </w:style>
  <w:style w:type="character" w:customStyle="1" w:styleId="ZaglavljeChar">
    <w:name w:val="Zaglavlje Char"/>
    <w:basedOn w:val="Zadanifontodlomka"/>
    <w:link w:val="Zaglavlje"/>
    <w:uiPriority w:val="99"/>
    <w:rsid w:val="000B5633"/>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0B5633"/>
    <w:pPr>
      <w:tabs>
        <w:tab w:val="center" w:pos="4536"/>
        <w:tab w:val="right" w:pos="9072"/>
      </w:tabs>
    </w:pPr>
  </w:style>
  <w:style w:type="character" w:customStyle="1" w:styleId="PodnojeChar">
    <w:name w:val="Podnožje Char"/>
    <w:basedOn w:val="Zadanifontodlomka"/>
    <w:link w:val="Podnoje"/>
    <w:uiPriority w:val="99"/>
    <w:rsid w:val="000B56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3920">
      <w:bodyDiv w:val="1"/>
      <w:marLeft w:val="0"/>
      <w:marRight w:val="0"/>
      <w:marTop w:val="0"/>
      <w:marBottom w:val="0"/>
      <w:divBdr>
        <w:top w:val="none" w:sz="0" w:space="0" w:color="auto"/>
        <w:left w:val="none" w:sz="0" w:space="0" w:color="auto"/>
        <w:bottom w:val="none" w:sz="0" w:space="0" w:color="auto"/>
        <w:right w:val="none" w:sz="0" w:space="0" w:color="auto"/>
      </w:divBdr>
    </w:div>
    <w:div w:id="5573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8</Pages>
  <Words>3617</Words>
  <Characters>20621</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OIP Sveti Ilija</dc:creator>
  <cp:keywords/>
  <dc:description/>
  <cp:lastModifiedBy>OIP Sveti Ilija</cp:lastModifiedBy>
  <cp:revision>12</cp:revision>
  <cp:lastPrinted>2022-07-14T12:47:00Z</cp:lastPrinted>
  <dcterms:created xsi:type="dcterms:W3CDTF">2022-09-09T08:59:00Z</dcterms:created>
  <dcterms:modified xsi:type="dcterms:W3CDTF">2022-09-14T08:37:00Z</dcterms:modified>
</cp:coreProperties>
</file>